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line="560" w:lineRule="exact"/>
        <w:jc w:val="center"/>
        <w:textAlignment w:val="baseline"/>
        <w:rPr>
          <w:rStyle w:val="25"/>
          <w:rFonts w:ascii="方正小标宋简体" w:hAnsi="宋体" w:eastAsia="方正小标宋简体"/>
          <w:bCs/>
          <w:sz w:val="44"/>
          <w:szCs w:val="44"/>
        </w:rPr>
      </w:pPr>
      <w:r>
        <w:rPr>
          <w:rStyle w:val="25"/>
          <w:rFonts w:hint="eastAsia" w:ascii="方正小标宋简体" w:hAnsi="宋体" w:eastAsia="方正小标宋简体"/>
          <w:bCs/>
          <w:sz w:val="44"/>
          <w:szCs w:val="44"/>
        </w:rPr>
        <w:t>学位授权点建设年度报告</w:t>
      </w:r>
    </w:p>
    <w:p>
      <w:pPr>
        <w:spacing w:after="156" w:line="560" w:lineRule="exact"/>
        <w:jc w:val="center"/>
        <w:textAlignment w:val="baseline"/>
        <w:rPr>
          <w:rStyle w:val="25"/>
          <w:rFonts w:ascii="方正小标宋简体" w:hAnsi="宋体" w:eastAsia="方正小标宋简体"/>
          <w:bCs/>
          <w:sz w:val="44"/>
          <w:szCs w:val="44"/>
        </w:rPr>
      </w:pPr>
      <w:r>
        <w:rPr>
          <w:rStyle w:val="25"/>
          <w:rFonts w:hint="eastAsia" w:ascii="方正小标宋简体" w:hAnsi="宋体" w:eastAsia="方正小标宋简体"/>
          <w:bCs/>
          <w:sz w:val="44"/>
          <w:szCs w:val="44"/>
        </w:rPr>
        <w:t>（</w:t>
      </w:r>
      <w:r>
        <w:rPr>
          <w:rStyle w:val="25"/>
          <w:rFonts w:ascii="方正小标宋简体" w:hAnsi="宋体" w:eastAsia="方正小标宋简体"/>
          <w:bCs/>
          <w:sz w:val="44"/>
          <w:szCs w:val="44"/>
        </w:rPr>
        <w:t>202</w:t>
      </w:r>
      <w:r>
        <w:rPr>
          <w:rStyle w:val="25"/>
          <w:rFonts w:hint="eastAsia" w:ascii="方正小标宋简体" w:hAnsi="宋体" w:eastAsia="方正小标宋简体"/>
          <w:bCs/>
          <w:sz w:val="44"/>
          <w:szCs w:val="44"/>
          <w:lang w:val="en-US"/>
        </w:rPr>
        <w:t>3</w:t>
      </w:r>
      <w:r>
        <w:rPr>
          <w:rStyle w:val="25"/>
          <w:rFonts w:hint="eastAsia" w:ascii="方正小标宋简体" w:hAnsi="宋体" w:eastAsia="方正小标宋简体"/>
          <w:bCs/>
          <w:sz w:val="44"/>
          <w:szCs w:val="44"/>
        </w:rPr>
        <w:t>年）</w:t>
      </w:r>
    </w:p>
    <w:p>
      <w:pPr>
        <w:spacing w:after="156" w:line="560" w:lineRule="exact"/>
        <w:jc w:val="center"/>
        <w:textAlignment w:val="baseline"/>
        <w:rPr>
          <w:rStyle w:val="25"/>
          <w:rFonts w:ascii="方正小标宋简体" w:hAnsi="宋体" w:eastAsia="方正小标宋简体"/>
          <w:bCs/>
          <w:sz w:val="44"/>
          <w:szCs w:val="44"/>
        </w:rPr>
      </w:pPr>
    </w:p>
    <w:p>
      <w:pPr>
        <w:snapToGrid w:val="0"/>
        <w:jc w:val="center"/>
        <w:textAlignment w:val="baseline"/>
        <w:rPr>
          <w:rStyle w:val="25"/>
          <w:rFonts w:ascii="Times New Roman" w:hAnsi="Times New Roman" w:eastAsia="宋体"/>
          <w:b/>
          <w:sz w:val="48"/>
          <w:szCs w:val="20"/>
        </w:rPr>
      </w:pPr>
    </w:p>
    <w:p>
      <w:pPr>
        <w:snapToGrid w:val="0"/>
        <w:jc w:val="center"/>
        <w:textAlignment w:val="baseline"/>
        <w:rPr>
          <w:rStyle w:val="25"/>
          <w:rFonts w:ascii="Times New Roman" w:hAnsi="Times New Roman" w:eastAsia="宋体"/>
          <w:b/>
          <w:sz w:val="48"/>
          <w:szCs w:val="20"/>
        </w:rPr>
      </w:pPr>
    </w:p>
    <w:p>
      <w:pPr>
        <w:snapToGrid w:val="0"/>
        <w:spacing w:line="300" w:lineRule="auto"/>
        <w:jc w:val="center"/>
        <w:textAlignment w:val="baseline"/>
        <w:rPr>
          <w:rStyle w:val="25"/>
          <w:rFonts w:ascii="Times New Roman" w:hAnsi="Times New Roman" w:eastAsia="宋体"/>
          <w:b/>
          <w:sz w:val="32"/>
          <w:szCs w:val="32"/>
        </w:rPr>
      </w:pPr>
    </w:p>
    <w:tbl>
      <w:tblPr>
        <w:tblStyle w:val="11"/>
        <w:tblW w:w="5484" w:type="dxa"/>
        <w:jc w:val="center"/>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507"/>
        <w:gridCol w:w="3977"/>
      </w:tblGrid>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restart"/>
            <w:tcBorders>
              <w:top w:val="nil"/>
              <w:left w:val="nil"/>
            </w:tcBorders>
            <w:vAlign w:val="center"/>
          </w:tcPr>
          <w:p>
            <w:pPr>
              <w:snapToGrid w:val="0"/>
              <w:spacing w:line="240" w:lineRule="atLeast"/>
              <w:jc w:val="center"/>
              <w:textAlignment w:val="baseline"/>
              <w:rPr>
                <w:rStyle w:val="25"/>
                <w:rFonts w:ascii="Times New Roman" w:hAnsi="Times New Roman" w:eastAsia="宋体"/>
                <w:b/>
                <w:spacing w:val="-10"/>
                <w:sz w:val="32"/>
                <w:szCs w:val="32"/>
              </w:rPr>
            </w:pPr>
            <w:r>
              <w:rPr>
                <w:rStyle w:val="25"/>
                <w:rFonts w:hint="eastAsia" w:ascii="Times New Roman" w:hAnsi="Times New Roman" w:eastAsia="宋体"/>
                <w:b/>
                <w:spacing w:val="-10"/>
                <w:sz w:val="32"/>
                <w:szCs w:val="32"/>
              </w:rPr>
              <w:t>学院</w:t>
            </w:r>
          </w:p>
          <w:p>
            <w:pPr>
              <w:snapToGrid w:val="0"/>
              <w:spacing w:line="240" w:lineRule="atLeast"/>
              <w:jc w:val="center"/>
              <w:textAlignment w:val="baseline"/>
              <w:rPr>
                <w:rStyle w:val="25"/>
                <w:rFonts w:ascii="Times New Roman" w:hAnsi="Times New Roman" w:eastAsia="宋体"/>
                <w:b/>
                <w:spacing w:val="-10"/>
                <w:sz w:val="32"/>
                <w:szCs w:val="32"/>
              </w:rPr>
            </w:pPr>
            <w:r>
              <w:rPr>
                <w:rStyle w:val="25"/>
                <w:rFonts w:hint="eastAsia" w:ascii="Times New Roman" w:hAnsi="Times New Roman" w:eastAsia="宋体"/>
                <w:b/>
                <w:spacing w:val="-10"/>
                <w:sz w:val="32"/>
                <w:szCs w:val="32"/>
              </w:rPr>
              <w:t>（公章）</w:t>
            </w:r>
          </w:p>
        </w:tc>
        <w:tc>
          <w:tcPr>
            <w:tcW w:w="3977" w:type="dxa"/>
            <w:tcBorders>
              <w:top w:val="nil"/>
              <w:right w:val="nil"/>
            </w:tcBorders>
            <w:vAlign w:val="center"/>
          </w:tcPr>
          <w:p>
            <w:pPr>
              <w:snapToGrid w:val="0"/>
              <w:spacing w:line="300" w:lineRule="auto"/>
              <w:textAlignment w:val="baseline"/>
              <w:rPr>
                <w:rStyle w:val="25"/>
                <w:rFonts w:ascii="Times New Roman" w:hAnsi="Times New Roman" w:eastAsia="宋体"/>
                <w:b/>
                <w:spacing w:val="-10"/>
                <w:sz w:val="32"/>
                <w:szCs w:val="32"/>
              </w:rPr>
            </w:pPr>
            <w:r>
              <w:rPr>
                <w:rStyle w:val="25"/>
                <w:rFonts w:hint="eastAsia" w:ascii="Times New Roman" w:hAnsi="Times New Roman" w:eastAsia="宋体"/>
                <w:b/>
                <w:spacing w:val="-10"/>
                <w:sz w:val="32"/>
                <w:szCs w:val="32"/>
              </w:rPr>
              <w:t>名称：教育</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continue"/>
            <w:tcBorders>
              <w:left w:val="nil"/>
              <w:bottom w:val="nil"/>
            </w:tcBorders>
            <w:vAlign w:val="center"/>
          </w:tcPr>
          <w:p>
            <w:pPr>
              <w:snapToGrid w:val="0"/>
              <w:spacing w:line="300" w:lineRule="auto"/>
              <w:jc w:val="center"/>
              <w:textAlignment w:val="baseline"/>
              <w:rPr>
                <w:rStyle w:val="25"/>
                <w:rFonts w:ascii="Times New Roman" w:hAnsi="Times New Roman" w:eastAsia="宋体"/>
                <w:b/>
                <w:spacing w:val="-10"/>
                <w:sz w:val="32"/>
                <w:szCs w:val="32"/>
              </w:rPr>
            </w:pPr>
          </w:p>
        </w:tc>
        <w:tc>
          <w:tcPr>
            <w:tcW w:w="3977" w:type="dxa"/>
            <w:tcBorders>
              <w:bottom w:val="nil"/>
              <w:right w:val="nil"/>
            </w:tcBorders>
            <w:vAlign w:val="center"/>
          </w:tcPr>
          <w:p>
            <w:pPr>
              <w:snapToGrid w:val="0"/>
              <w:spacing w:line="300" w:lineRule="auto"/>
              <w:textAlignment w:val="baseline"/>
              <w:rPr>
                <w:rStyle w:val="25"/>
                <w:rFonts w:hint="default" w:ascii="Times New Roman" w:hAnsi="Times New Roman" w:eastAsia="宋体"/>
                <w:b/>
                <w:spacing w:val="-10"/>
                <w:sz w:val="32"/>
                <w:szCs w:val="32"/>
                <w:lang w:val="en-US"/>
              </w:rPr>
            </w:pPr>
            <w:r>
              <w:rPr>
                <w:rStyle w:val="25"/>
                <w:rFonts w:hint="eastAsia" w:ascii="Times New Roman" w:hAnsi="Times New Roman" w:eastAsia="宋体"/>
                <w:b/>
                <w:spacing w:val="-10"/>
                <w:sz w:val="32"/>
                <w:szCs w:val="32"/>
              </w:rPr>
              <w:t>代码：</w:t>
            </w:r>
            <w:r>
              <w:rPr>
                <w:rStyle w:val="25"/>
                <w:rFonts w:hint="eastAsia" w:ascii="Times New Roman" w:hAnsi="Times New Roman" w:eastAsia="宋体"/>
                <w:b/>
                <w:spacing w:val="-10"/>
                <w:sz w:val="32"/>
                <w:szCs w:val="32"/>
                <w:lang w:val="en-US"/>
              </w:rPr>
              <w:t>0451</w:t>
            </w:r>
          </w:p>
        </w:tc>
      </w:tr>
    </w:tbl>
    <w:p>
      <w:pPr>
        <w:snapToGrid w:val="0"/>
        <w:spacing w:line="300" w:lineRule="auto"/>
        <w:jc w:val="center"/>
        <w:textAlignment w:val="baseline"/>
        <w:rPr>
          <w:rStyle w:val="25"/>
          <w:rFonts w:ascii="Times New Roman" w:hAnsi="Times New Roman" w:eastAsia="宋体"/>
          <w:b/>
          <w:sz w:val="48"/>
          <w:szCs w:val="20"/>
        </w:rPr>
      </w:pPr>
    </w:p>
    <w:p>
      <w:pPr>
        <w:spacing w:line="560" w:lineRule="exact"/>
        <w:jc w:val="center"/>
        <w:textAlignment w:val="baseline"/>
        <w:rPr>
          <w:rStyle w:val="25"/>
          <w:rFonts w:ascii="Times New Roman" w:hAnsi="Times New Roman" w:eastAsia="楷体_GB2312"/>
          <w:b/>
          <w:sz w:val="30"/>
          <w:szCs w:val="30"/>
        </w:rPr>
      </w:pPr>
    </w:p>
    <w:p>
      <w:pPr>
        <w:pStyle w:val="26"/>
        <w:widowControl/>
        <w:rPr>
          <w:rStyle w:val="25"/>
          <w:rFonts w:ascii="黑体" w:hAnsi="黑体" w:eastAsia="黑体"/>
          <w:color w:val="auto"/>
          <w:sz w:val="32"/>
        </w:rPr>
      </w:pPr>
    </w:p>
    <w:p>
      <w:pPr>
        <w:rPr>
          <w:rStyle w:val="25"/>
          <w:rFonts w:ascii="黑体" w:hAnsi="黑体" w:eastAsia="黑体"/>
          <w:color w:val="auto"/>
          <w:sz w:val="32"/>
        </w:rPr>
      </w:pPr>
    </w:p>
    <w:p>
      <w:pPr>
        <w:pStyle w:val="2"/>
        <w:rPr>
          <w:rStyle w:val="25"/>
          <w:rFonts w:ascii="黑体" w:hAnsi="黑体" w:eastAsia="黑体"/>
          <w:color w:val="auto"/>
          <w:sz w:val="32"/>
        </w:rPr>
      </w:pPr>
    </w:p>
    <w:p>
      <w:pPr>
        <w:rPr>
          <w:rStyle w:val="25"/>
          <w:rFonts w:ascii="黑体" w:hAnsi="黑体" w:eastAsia="黑体"/>
          <w:color w:val="auto"/>
          <w:sz w:val="32"/>
        </w:rPr>
      </w:pPr>
    </w:p>
    <w:p>
      <w:pPr>
        <w:pStyle w:val="2"/>
        <w:rPr>
          <w:rStyle w:val="25"/>
          <w:rFonts w:ascii="黑体" w:hAnsi="黑体" w:eastAsia="黑体"/>
          <w:color w:val="auto"/>
          <w:sz w:val="32"/>
        </w:rPr>
      </w:pPr>
    </w:p>
    <w:p>
      <w:pPr>
        <w:rPr>
          <w:rStyle w:val="25"/>
          <w:rFonts w:ascii="黑体" w:hAnsi="黑体" w:eastAsia="黑体"/>
          <w:color w:val="auto"/>
          <w:sz w:val="32"/>
        </w:rPr>
      </w:pPr>
    </w:p>
    <w:p>
      <w:pPr>
        <w:pStyle w:val="2"/>
        <w:rPr>
          <w:rStyle w:val="25"/>
          <w:rFonts w:ascii="黑体" w:hAnsi="黑体" w:eastAsia="黑体"/>
          <w:color w:val="auto"/>
          <w:sz w:val="32"/>
        </w:rPr>
      </w:pPr>
    </w:p>
    <w:p/>
    <w:p>
      <w:pPr>
        <w:spacing w:line="560" w:lineRule="exact"/>
        <w:jc w:val="center"/>
        <w:textAlignment w:val="baseline"/>
        <w:rPr>
          <w:rStyle w:val="25"/>
          <w:rFonts w:ascii="Times New Roman" w:hAnsi="Times New Roman" w:eastAsia="楷体_GB2312"/>
          <w:b/>
          <w:sz w:val="30"/>
          <w:szCs w:val="30"/>
        </w:rPr>
      </w:pPr>
    </w:p>
    <w:p>
      <w:pPr>
        <w:spacing w:line="560" w:lineRule="exact"/>
        <w:jc w:val="center"/>
        <w:textAlignment w:val="baseline"/>
        <w:rPr>
          <w:rStyle w:val="25"/>
          <w:rFonts w:ascii="黑体" w:hAnsi="黑体" w:eastAsia="黑体"/>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docGrid w:type="lines" w:linePitch="312" w:charSpace="0"/>
        </w:sectPr>
      </w:pPr>
      <w:r>
        <w:rPr>
          <w:rStyle w:val="25"/>
          <w:rFonts w:ascii="Times New Roman" w:hAnsi="Times New Roman" w:eastAsia="楷体_GB2312"/>
          <w:b/>
          <w:sz w:val="32"/>
          <w:szCs w:val="32"/>
        </w:rPr>
        <w:t xml:space="preserve">202 </w:t>
      </w:r>
      <w:r>
        <w:rPr>
          <w:rStyle w:val="25"/>
          <w:rFonts w:hint="eastAsia" w:ascii="Times New Roman" w:hAnsi="Times New Roman" w:eastAsia="楷体_GB2312"/>
          <w:b/>
          <w:sz w:val="32"/>
          <w:szCs w:val="32"/>
          <w:lang w:val="en-US"/>
        </w:rPr>
        <w:t>4</w:t>
      </w:r>
      <w:r>
        <w:rPr>
          <w:rStyle w:val="25"/>
          <w:rFonts w:hint="eastAsia" w:ascii="Times New Roman" w:hAnsi="Times New Roman" w:eastAsia="楷体_GB2312"/>
          <w:b/>
          <w:sz w:val="32"/>
          <w:szCs w:val="32"/>
        </w:rPr>
        <w:t>年</w:t>
      </w:r>
      <w:r>
        <w:rPr>
          <w:rStyle w:val="25"/>
          <w:rFonts w:ascii="Times New Roman" w:hAnsi="Times New Roman" w:eastAsia="楷体_GB2312"/>
          <w:b/>
          <w:sz w:val="32"/>
          <w:szCs w:val="32"/>
        </w:rPr>
        <w:t xml:space="preserve"> </w:t>
      </w:r>
      <w:r>
        <w:rPr>
          <w:rStyle w:val="25"/>
          <w:rFonts w:hint="eastAsia" w:ascii="Times New Roman" w:hAnsi="Times New Roman" w:eastAsia="楷体_GB2312"/>
          <w:b/>
          <w:sz w:val="32"/>
          <w:szCs w:val="32"/>
          <w:lang w:val="en-US"/>
        </w:rPr>
        <w:t>1</w:t>
      </w:r>
      <w:r>
        <w:rPr>
          <w:rStyle w:val="25"/>
          <w:rFonts w:ascii="Times New Roman" w:hAnsi="Times New Roman" w:eastAsia="楷体_GB2312"/>
          <w:b/>
          <w:sz w:val="32"/>
          <w:szCs w:val="32"/>
        </w:rPr>
        <w:t xml:space="preserve"> </w:t>
      </w:r>
      <w:r>
        <w:rPr>
          <w:rStyle w:val="25"/>
          <w:rFonts w:hint="eastAsia" w:ascii="Times New Roman" w:hAnsi="Times New Roman" w:eastAsia="楷体_GB2312"/>
          <w:b/>
          <w:sz w:val="32"/>
          <w:szCs w:val="32"/>
        </w:rPr>
        <w:t>月</w:t>
      </w:r>
      <w:r>
        <w:rPr>
          <w:rStyle w:val="25"/>
          <w:rFonts w:ascii="Times New Roman" w:hAnsi="Times New Roman" w:eastAsia="楷体_GB2312"/>
          <w:b/>
          <w:sz w:val="32"/>
          <w:szCs w:val="32"/>
        </w:rPr>
        <w:t xml:space="preserve"> </w:t>
      </w:r>
      <w:r>
        <w:rPr>
          <w:rStyle w:val="25"/>
          <w:rFonts w:hint="eastAsia" w:ascii="Times New Roman" w:hAnsi="Times New Roman" w:eastAsia="楷体_GB2312"/>
          <w:b/>
          <w:sz w:val="32"/>
          <w:szCs w:val="32"/>
          <w:lang w:val="en-US"/>
        </w:rPr>
        <w:t>10</w:t>
      </w:r>
      <w:r>
        <w:rPr>
          <w:rStyle w:val="25"/>
          <w:rFonts w:ascii="Times New Roman" w:hAnsi="Times New Roman" w:eastAsia="楷体_GB2312"/>
          <w:b/>
          <w:sz w:val="32"/>
          <w:szCs w:val="32"/>
        </w:rPr>
        <w:t xml:space="preserve"> </w:t>
      </w:r>
      <w:r>
        <w:rPr>
          <w:rStyle w:val="25"/>
          <w:rFonts w:hint="eastAsia" w:ascii="Times New Roman" w:hAnsi="Times New Roman" w:eastAsia="楷体_GB2312"/>
          <w:b/>
          <w:sz w:val="32"/>
          <w:szCs w:val="32"/>
        </w:rPr>
        <w:t>日</w:t>
      </w:r>
    </w:p>
    <w:p>
      <w:pPr>
        <w:widowControl/>
        <w:spacing w:line="580" w:lineRule="exact"/>
        <w:ind w:firstLine="602" w:firstLineChars="200"/>
        <w:textAlignment w:val="baseline"/>
        <w:rPr>
          <w:rStyle w:val="25"/>
          <w:rFonts w:ascii="黑体" w:hAnsi="黑体" w:eastAsia="黑体" w:cs="方正仿宋简体"/>
          <w:b/>
          <w:sz w:val="30"/>
          <w:szCs w:val="30"/>
        </w:rPr>
      </w:pPr>
      <w:r>
        <w:rPr>
          <w:rStyle w:val="25"/>
          <w:rFonts w:hint="eastAsia" w:ascii="黑体" w:hAnsi="黑体" w:eastAsia="黑体" w:cs="黑体"/>
          <w:b/>
          <w:sz w:val="30"/>
          <w:szCs w:val="30"/>
        </w:rPr>
        <w:t>一、总体概况</w:t>
      </w:r>
    </w:p>
    <w:p>
      <w:pPr>
        <w:pStyle w:val="10"/>
        <w:widowControl/>
        <w:spacing w:beforeAutospacing="0" w:afterAutospacing="0" w:line="580" w:lineRule="exact"/>
        <w:ind w:firstLine="555"/>
        <w:rPr>
          <w:rStyle w:val="25"/>
          <w:rFonts w:hint="eastAsia" w:ascii="仿宋" w:hAnsi="仿宋" w:eastAsia="仿宋" w:cs="仿宋"/>
          <w:b/>
          <w:sz w:val="32"/>
          <w:szCs w:val="32"/>
        </w:rPr>
      </w:pPr>
      <w:r>
        <w:rPr>
          <w:rStyle w:val="25"/>
          <w:rFonts w:hint="eastAsia" w:ascii="仿宋" w:hAnsi="仿宋" w:eastAsia="仿宋" w:cs="仿宋"/>
          <w:b/>
          <w:sz w:val="32"/>
          <w:szCs w:val="32"/>
        </w:rPr>
        <w:t>(一)学位授权点基本情况</w:t>
      </w:r>
    </w:p>
    <w:p>
      <w:pPr>
        <w:pStyle w:val="10"/>
        <w:widowControl/>
        <w:spacing w:beforeAutospacing="0" w:afterAutospacing="0" w:line="580" w:lineRule="exact"/>
        <w:ind w:firstLine="555"/>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教育硕士现有教育管理、学科教学、职业技术教育、学前教育、现代教育技术5个专业领域。师资引育方面，紧紧围绕人才培养目标，遵循“学科-专业-学位点”三局同步原则，强化师德师风建设，坚持引育并举，充分利用学校各类人才计划加大培育力度，建设高水平师资队伍。教育硕士人才培养方面坚持需求导向，扎根中国大地，全面提升研究生教育服务国家和区域发展能力，坚持创新引领。在管理体制机制上，本学位点于2019年底组建了教育学部负责教育学科研究生招生、培养、研究、交流“四位一体”，较好地整合现有的教育资源服务于教育硕士人才培养。教育学部设有学科与研究生工作办公室，现有研究生专职行政工作人员5人，负责教育硕士研究生招生、培养、就业等协调与管理工作。在人才培养上聚焦人才培养目标，以课程建设为抓手不断打造研究生核心课程，不断完善研究生课程体系；以“项目研究”为驱动，培养学生实践能力。教育硕士参与创新项目申报，立项率始终占全校立项项目总数的1/7；以竞赛促进教育硕士实践能力提升，在各类竞赛中获得了丰硕的成果。以实践基地为平台，提高学生综合素养。</w:t>
      </w:r>
    </w:p>
    <w:p>
      <w:pPr>
        <w:pStyle w:val="10"/>
        <w:widowControl/>
        <w:numPr>
          <w:ilvl w:val="0"/>
          <w:numId w:val="1"/>
        </w:numPr>
        <w:spacing w:beforeAutospacing="0" w:afterAutospacing="0" w:line="580" w:lineRule="exact"/>
        <w:ind w:firstLine="555"/>
        <w:rPr>
          <w:rStyle w:val="25"/>
          <w:rFonts w:hint="eastAsia" w:ascii="仿宋" w:hAnsi="仿宋" w:eastAsia="仿宋" w:cs="仿宋"/>
          <w:b/>
          <w:sz w:val="32"/>
          <w:szCs w:val="32"/>
        </w:rPr>
      </w:pPr>
      <w:r>
        <w:rPr>
          <w:rStyle w:val="25"/>
          <w:rFonts w:hint="eastAsia" w:ascii="仿宋" w:hAnsi="仿宋" w:eastAsia="仿宋" w:cs="仿宋"/>
          <w:b/>
          <w:sz w:val="32"/>
          <w:szCs w:val="32"/>
        </w:rPr>
        <w:t>学科建设情况</w:t>
      </w:r>
    </w:p>
    <w:p>
      <w:pPr>
        <w:pStyle w:val="10"/>
        <w:widowControl/>
        <w:spacing w:beforeAutospacing="0" w:afterAutospacing="0" w:line="580" w:lineRule="exact"/>
        <w:ind w:firstLine="640" w:firstLineChars="200"/>
        <w:rPr>
          <w:rStyle w:val="25"/>
          <w:rFonts w:hint="eastAsia" w:ascii="仿宋" w:hAnsi="仿宋" w:eastAsia="仿宋" w:cs="仿宋"/>
          <w:b/>
          <w:sz w:val="32"/>
          <w:szCs w:val="32"/>
          <w:lang w:val="en-US"/>
        </w:rPr>
      </w:pPr>
      <w:r>
        <w:rPr>
          <w:rFonts w:hint="eastAsia" w:ascii="仿宋" w:hAnsi="仿宋" w:eastAsia="仿宋" w:cs="仿宋"/>
          <w:color w:val="000000"/>
          <w:kern w:val="0"/>
          <w:sz w:val="32"/>
          <w:szCs w:val="32"/>
          <w:lang w:val="en-US" w:eastAsia="zh-CN" w:bidi="ar"/>
        </w:rPr>
        <w:t>本学科是江西科技师范大学致力于建设具有鲜明职教特色、 引领全国一流职教师资培养的高水平综合性师范大学,发挥教师教育办学优势、彰显职教师资培养特色,倾全校之力建设的核心学科，有35年本科基础教育师资、中等职业教育师资培养的传统积淀和16年研究生教育的实践探索，是江西省一流学科（2017年），江西省“十四五”期间一流学科潜力发展学科（2021年）；获批国家首批“双师型”职教教师教学创新团队项目、国家首批新文科研究与改革实践项目、教育部第二批虚拟教研室、 教育部人文社科重点研究基地—北京师范大学教师教研中心江西分中心、国家级职业教育“双师型”教师培训基地（2023-2025年）。学前教育学为国家级一流专业建设点、教育技术学全省专业综合评价排名第3列为省一流专业建设点；《旅行社经营管理》《瑜你同行，伽人有约》列为国家级一流课程。</w:t>
      </w:r>
    </w:p>
    <w:p>
      <w:pPr>
        <w:pStyle w:val="10"/>
        <w:widowControl/>
        <w:spacing w:beforeAutospacing="0" w:afterAutospacing="0" w:line="580" w:lineRule="exact"/>
        <w:ind w:firstLine="555"/>
        <w:rPr>
          <w:rStyle w:val="25"/>
          <w:rFonts w:hint="eastAsia" w:ascii="仿宋" w:hAnsi="仿宋" w:eastAsia="仿宋" w:cs="仿宋"/>
          <w:b/>
          <w:sz w:val="32"/>
          <w:szCs w:val="32"/>
        </w:rPr>
      </w:pPr>
      <w:r>
        <w:rPr>
          <w:rStyle w:val="25"/>
          <w:rFonts w:hint="eastAsia" w:ascii="仿宋" w:hAnsi="仿宋" w:eastAsia="仿宋" w:cs="仿宋"/>
          <w:b/>
          <w:sz w:val="32"/>
          <w:szCs w:val="32"/>
        </w:rPr>
        <w:t>（三）研究生招生、在读、毕业、学位授予及就业基本状况</w:t>
      </w:r>
    </w:p>
    <w:p>
      <w:pPr>
        <w:pStyle w:val="10"/>
        <w:widowControl/>
        <w:spacing w:beforeAutospacing="0" w:afterAutospacing="0" w:line="580" w:lineRule="exact"/>
        <w:ind w:firstLine="800" w:firstLineChars="250"/>
        <w:rPr>
          <w:rStyle w:val="25"/>
          <w:rFonts w:hint="eastAsia" w:ascii="仿宋" w:hAnsi="仿宋" w:eastAsia="仿宋" w:cs="仿宋"/>
          <w:color w:val="auto"/>
          <w:sz w:val="32"/>
          <w:szCs w:val="32"/>
        </w:rPr>
      </w:pPr>
      <w:r>
        <w:rPr>
          <w:rStyle w:val="25"/>
          <w:rFonts w:hint="eastAsia" w:ascii="仿宋" w:hAnsi="仿宋" w:eastAsia="仿宋" w:cs="仿宋"/>
          <w:color w:val="000000" w:themeColor="text1"/>
          <w:sz w:val="32"/>
          <w:szCs w:val="32"/>
          <w14:textFill>
            <w14:solidFill>
              <w14:schemeClr w14:val="tx1"/>
            </w14:solidFill>
          </w14:textFill>
        </w:rPr>
        <w:t>现有教育硕士在读研究生 671人。2023年教育硕士共招生277人，其中教育管理24人，现代教育技术28人，学前教育46人，学科教学（化学）5人，学科教学（思政）12 人，学科教学（数学）17 人，学科教学（物理）8 人，学科教学（英语）45人，学科教学（语文）34人，学科教学（历史）17 人，职业技术教育（旅游商贸）</w:t>
      </w:r>
      <w:r>
        <w:rPr>
          <w:rStyle w:val="25"/>
          <w:rFonts w:hint="eastAsia" w:ascii="仿宋" w:hAnsi="仿宋" w:eastAsia="仿宋" w:cs="仿宋"/>
          <w:color w:val="000000" w:themeColor="text1"/>
          <w:sz w:val="32"/>
          <w:szCs w:val="32"/>
          <w:lang w:val="en-US"/>
          <w14:textFill>
            <w14:solidFill>
              <w14:schemeClr w14:val="tx1"/>
            </w14:solidFill>
          </w14:textFill>
        </w:rPr>
        <w:t>10</w:t>
      </w:r>
      <w:r>
        <w:rPr>
          <w:rStyle w:val="25"/>
          <w:rFonts w:hint="eastAsia" w:ascii="仿宋" w:hAnsi="仿宋" w:eastAsia="仿宋" w:cs="仿宋"/>
          <w:color w:val="000000" w:themeColor="text1"/>
          <w:sz w:val="32"/>
          <w:szCs w:val="32"/>
          <w14:textFill>
            <w14:solidFill>
              <w14:schemeClr w14:val="tx1"/>
            </w14:solidFill>
          </w14:textFill>
        </w:rPr>
        <w:t xml:space="preserve"> 人，职业技术教育（电子信息） 9人。职业技术教育（财经商贸）10人，职业技术教育（信息技术）12 人。</w:t>
      </w:r>
      <w:r>
        <w:rPr>
          <w:rStyle w:val="25"/>
          <w:rFonts w:hint="eastAsia" w:ascii="仿宋" w:hAnsi="仿宋" w:eastAsia="仿宋" w:cs="仿宋"/>
          <w:color w:val="auto"/>
          <w:sz w:val="32"/>
          <w:szCs w:val="32"/>
        </w:rPr>
        <w:t xml:space="preserve">2023年教育硕士授予学位人数 </w:t>
      </w:r>
      <w:r>
        <w:rPr>
          <w:rStyle w:val="25"/>
          <w:rFonts w:hint="eastAsia" w:ascii="仿宋" w:hAnsi="仿宋" w:eastAsia="仿宋" w:cs="仿宋"/>
          <w:color w:val="auto"/>
          <w:sz w:val="32"/>
          <w:szCs w:val="32"/>
          <w:lang w:val="en-US"/>
        </w:rPr>
        <w:t>205</w:t>
      </w:r>
      <w:r>
        <w:rPr>
          <w:rStyle w:val="25"/>
          <w:rFonts w:hint="eastAsia" w:ascii="仿宋" w:hAnsi="仿宋" w:eastAsia="仿宋" w:cs="仿宋"/>
          <w:color w:val="auto"/>
          <w:sz w:val="32"/>
          <w:szCs w:val="32"/>
        </w:rPr>
        <w:t>人，毕业人数</w:t>
      </w:r>
      <w:r>
        <w:rPr>
          <w:rStyle w:val="25"/>
          <w:rFonts w:hint="eastAsia" w:ascii="仿宋" w:hAnsi="仿宋" w:eastAsia="仿宋" w:cs="仿宋"/>
          <w:color w:val="auto"/>
          <w:sz w:val="32"/>
          <w:szCs w:val="32"/>
          <w:lang w:val="en-US"/>
        </w:rPr>
        <w:t>205</w:t>
      </w:r>
      <w:r>
        <w:rPr>
          <w:rStyle w:val="25"/>
          <w:rFonts w:hint="eastAsia" w:ascii="仿宋" w:hAnsi="仿宋" w:eastAsia="仿宋" w:cs="仿宋"/>
          <w:color w:val="auto"/>
          <w:sz w:val="32"/>
          <w:szCs w:val="32"/>
        </w:rPr>
        <w:t>人。</w:t>
      </w:r>
    </w:p>
    <w:p>
      <w:pPr>
        <w:pStyle w:val="10"/>
        <w:widowControl/>
        <w:spacing w:beforeAutospacing="0" w:afterAutospacing="0" w:line="580" w:lineRule="exact"/>
        <w:ind w:firstLine="482" w:firstLineChars="150"/>
        <w:rPr>
          <w:rFonts w:hint="eastAsia" w:ascii="仿宋" w:hAnsi="仿宋" w:eastAsia="仿宋" w:cs="仿宋"/>
          <w:b/>
          <w:kern w:val="2"/>
          <w:sz w:val="32"/>
          <w:szCs w:val="32"/>
        </w:rPr>
      </w:pPr>
      <w:r>
        <w:rPr>
          <w:rStyle w:val="25"/>
          <w:rFonts w:hint="eastAsia" w:ascii="仿宋" w:hAnsi="仿宋" w:eastAsia="仿宋" w:cs="仿宋"/>
          <w:b/>
          <w:sz w:val="32"/>
          <w:szCs w:val="32"/>
        </w:rPr>
        <w:t>（四）研究生导师状况</w:t>
      </w:r>
    </w:p>
    <w:p>
      <w:pPr>
        <w:spacing w:line="580" w:lineRule="exact"/>
        <w:ind w:firstLine="640" w:firstLineChars="200"/>
        <w:rPr>
          <w:rStyle w:val="25"/>
          <w:rFonts w:hint="eastAsia" w:ascii="仿宋" w:hAnsi="仿宋" w:eastAsia="仿宋" w:cs="仿宋"/>
          <w:color w:val="000000" w:themeColor="text1"/>
          <w:sz w:val="32"/>
          <w:szCs w:val="32"/>
          <w14:textFill>
            <w14:solidFill>
              <w14:schemeClr w14:val="tx1"/>
            </w14:solidFill>
          </w14:textFill>
        </w:rPr>
      </w:pPr>
      <w:r>
        <w:rPr>
          <w:rStyle w:val="25"/>
          <w:rFonts w:hint="eastAsia" w:ascii="仿宋" w:hAnsi="仿宋" w:eastAsia="仿宋" w:cs="仿宋"/>
          <w:sz w:val="32"/>
          <w:szCs w:val="32"/>
        </w:rPr>
        <w:t>学校把加强导师队伍建设放在首位，努力造就一支师德高尚、业务精湛、结构合理、充满活力的高素质专业化导师队伍。</w:t>
      </w:r>
      <w:r>
        <w:rPr>
          <w:rStyle w:val="25"/>
          <w:rFonts w:hint="eastAsia" w:ascii="仿宋" w:hAnsi="仿宋" w:eastAsia="仿宋" w:cs="仿宋"/>
          <w:color w:val="000000" w:themeColor="text1"/>
          <w:sz w:val="32"/>
          <w:szCs w:val="32"/>
          <w14:textFill>
            <w14:solidFill>
              <w14:schemeClr w14:val="tx1"/>
            </w14:solidFill>
          </w14:textFill>
        </w:rPr>
        <w:t>202</w:t>
      </w:r>
      <w:r>
        <w:rPr>
          <w:rStyle w:val="25"/>
          <w:rFonts w:hint="eastAsia" w:ascii="仿宋" w:hAnsi="仿宋" w:eastAsia="仿宋" w:cs="仿宋"/>
          <w:color w:val="000000" w:themeColor="text1"/>
          <w:sz w:val="32"/>
          <w:szCs w:val="32"/>
          <w:lang w:val="en-US"/>
          <w14:textFill>
            <w14:solidFill>
              <w14:schemeClr w14:val="tx1"/>
            </w14:solidFill>
          </w14:textFill>
        </w:rPr>
        <w:t>2-2023</w:t>
      </w:r>
      <w:r>
        <w:rPr>
          <w:rStyle w:val="25"/>
          <w:rFonts w:hint="eastAsia" w:ascii="仿宋" w:hAnsi="仿宋" w:eastAsia="仿宋" w:cs="仿宋"/>
          <w:color w:val="000000" w:themeColor="text1"/>
          <w:sz w:val="32"/>
          <w:szCs w:val="32"/>
          <w14:textFill>
            <w14:solidFill>
              <w14:schemeClr w14:val="tx1"/>
            </w14:solidFill>
          </w14:textFill>
        </w:rPr>
        <w:t>年本学位点严格导师遴选，重新确定教育硕士研究生导师共</w:t>
      </w:r>
      <w:r>
        <w:rPr>
          <w:rStyle w:val="25"/>
          <w:rFonts w:hint="eastAsia" w:ascii="仿宋" w:hAnsi="仿宋" w:eastAsia="仿宋" w:cs="仿宋"/>
          <w:color w:val="000000" w:themeColor="text1"/>
          <w:sz w:val="32"/>
          <w:szCs w:val="32"/>
          <w:lang w:val="en-US"/>
          <w14:textFill>
            <w14:solidFill>
              <w14:schemeClr w14:val="tx1"/>
            </w14:solidFill>
          </w14:textFill>
        </w:rPr>
        <w:t>131</w:t>
      </w:r>
      <w:r>
        <w:rPr>
          <w:rStyle w:val="25"/>
          <w:rFonts w:hint="eastAsia" w:ascii="仿宋" w:hAnsi="仿宋" w:eastAsia="仿宋" w:cs="仿宋"/>
          <w:color w:val="000000" w:themeColor="text1"/>
          <w:sz w:val="32"/>
          <w:szCs w:val="32"/>
          <w14:textFill>
            <w14:solidFill>
              <w14:schemeClr w14:val="tx1"/>
            </w14:solidFill>
          </w14:textFill>
        </w:rPr>
        <w:t>人，其中校内</w:t>
      </w:r>
      <w:r>
        <w:rPr>
          <w:rStyle w:val="25"/>
          <w:rFonts w:hint="eastAsia" w:ascii="仿宋" w:hAnsi="仿宋" w:eastAsia="仿宋" w:cs="仿宋"/>
          <w:color w:val="000000" w:themeColor="text1"/>
          <w:sz w:val="32"/>
          <w:szCs w:val="32"/>
          <w:lang w:val="en-US"/>
          <w14:textFill>
            <w14:solidFill>
              <w14:schemeClr w14:val="tx1"/>
            </w14:solidFill>
          </w14:textFill>
        </w:rPr>
        <w:t>34</w:t>
      </w:r>
      <w:r>
        <w:rPr>
          <w:rStyle w:val="25"/>
          <w:rFonts w:hint="eastAsia" w:ascii="仿宋" w:hAnsi="仿宋" w:eastAsia="仿宋" w:cs="仿宋"/>
          <w:color w:val="000000" w:themeColor="text1"/>
          <w:sz w:val="32"/>
          <w:szCs w:val="32"/>
          <w14:textFill>
            <w14:solidFill>
              <w14:schemeClr w14:val="tx1"/>
            </w14:solidFill>
          </w14:textFill>
        </w:rPr>
        <w:t>人、校外</w:t>
      </w:r>
      <w:r>
        <w:rPr>
          <w:rStyle w:val="25"/>
          <w:rFonts w:hint="eastAsia" w:ascii="仿宋" w:hAnsi="仿宋" w:eastAsia="仿宋" w:cs="仿宋"/>
          <w:color w:val="000000" w:themeColor="text1"/>
          <w:sz w:val="32"/>
          <w:szCs w:val="32"/>
          <w:lang w:val="en-US"/>
          <w14:textFill>
            <w14:solidFill>
              <w14:schemeClr w14:val="tx1"/>
            </w14:solidFill>
          </w14:textFill>
        </w:rPr>
        <w:t>97</w:t>
      </w:r>
      <w:r>
        <w:rPr>
          <w:rStyle w:val="25"/>
          <w:rFonts w:hint="eastAsia" w:ascii="仿宋" w:hAnsi="仿宋" w:eastAsia="仿宋" w:cs="仿宋"/>
          <w:color w:val="000000" w:themeColor="text1"/>
          <w:sz w:val="32"/>
          <w:szCs w:val="32"/>
          <w14:textFill>
            <w14:solidFill>
              <w14:schemeClr w14:val="tx1"/>
            </w14:solidFill>
          </w14:textFill>
        </w:rPr>
        <w:t>人。校内硕导中高级职称共</w:t>
      </w:r>
      <w:r>
        <w:rPr>
          <w:rStyle w:val="25"/>
          <w:rFonts w:hint="eastAsia" w:ascii="仿宋" w:hAnsi="仿宋" w:eastAsia="仿宋" w:cs="仿宋"/>
          <w:color w:val="000000" w:themeColor="text1"/>
          <w:sz w:val="32"/>
          <w:szCs w:val="32"/>
          <w:lang w:val="en-US"/>
          <w14:textFill>
            <w14:solidFill>
              <w14:schemeClr w14:val="tx1"/>
            </w14:solidFill>
          </w14:textFill>
        </w:rPr>
        <w:t>22</w:t>
      </w:r>
      <w:r>
        <w:rPr>
          <w:rStyle w:val="25"/>
          <w:rFonts w:hint="eastAsia" w:ascii="仿宋" w:hAnsi="仿宋" w:eastAsia="仿宋" w:cs="仿宋"/>
          <w:color w:val="000000" w:themeColor="text1"/>
          <w:sz w:val="32"/>
          <w:szCs w:val="32"/>
          <w14:textFill>
            <w14:solidFill>
              <w14:schemeClr w14:val="tx1"/>
            </w14:solidFill>
          </w14:textFill>
        </w:rPr>
        <w:t>人，占比</w:t>
      </w:r>
      <w:r>
        <w:rPr>
          <w:rStyle w:val="25"/>
          <w:rFonts w:hint="eastAsia" w:ascii="仿宋" w:hAnsi="仿宋" w:eastAsia="仿宋" w:cs="仿宋"/>
          <w:color w:val="000000" w:themeColor="text1"/>
          <w:sz w:val="32"/>
          <w:szCs w:val="32"/>
          <w:lang w:val="en-US"/>
          <w14:textFill>
            <w14:solidFill>
              <w14:schemeClr w14:val="tx1"/>
            </w14:solidFill>
          </w14:textFill>
        </w:rPr>
        <w:t>6</w:t>
      </w:r>
      <w:r>
        <w:rPr>
          <w:rStyle w:val="25"/>
          <w:rFonts w:hint="eastAsia" w:ascii="仿宋" w:hAnsi="仿宋" w:eastAsia="仿宋" w:cs="仿宋"/>
          <w:color w:val="000000" w:themeColor="text1"/>
          <w:sz w:val="32"/>
          <w:szCs w:val="32"/>
          <w14:textFill>
            <w14:solidFill>
              <w14:schemeClr w14:val="tx1"/>
            </w14:solidFill>
          </w14:textFill>
        </w:rPr>
        <w:t>4.</w:t>
      </w:r>
      <w:r>
        <w:rPr>
          <w:rStyle w:val="25"/>
          <w:rFonts w:hint="eastAsia" w:ascii="仿宋" w:hAnsi="仿宋" w:eastAsia="仿宋" w:cs="仿宋"/>
          <w:color w:val="000000" w:themeColor="text1"/>
          <w:sz w:val="32"/>
          <w:szCs w:val="32"/>
          <w:lang w:val="en-US"/>
          <w14:textFill>
            <w14:solidFill>
              <w14:schemeClr w14:val="tx1"/>
            </w14:solidFill>
          </w14:textFill>
        </w:rPr>
        <w:t>7</w:t>
      </w:r>
      <w:r>
        <w:rPr>
          <w:rStyle w:val="25"/>
          <w:rFonts w:hint="eastAsia" w:ascii="仿宋" w:hAnsi="仿宋" w:eastAsia="仿宋" w:cs="仿宋"/>
          <w:color w:val="000000" w:themeColor="text1"/>
          <w:sz w:val="32"/>
          <w:szCs w:val="32"/>
          <w14:textFill>
            <w14:solidFill>
              <w14:schemeClr w14:val="tx1"/>
            </w14:solidFill>
          </w14:textFill>
        </w:rPr>
        <w:t>%，其中正高级</w:t>
      </w:r>
      <w:r>
        <w:rPr>
          <w:rStyle w:val="25"/>
          <w:rFonts w:hint="eastAsia" w:ascii="仿宋" w:hAnsi="仿宋" w:eastAsia="仿宋" w:cs="仿宋"/>
          <w:color w:val="000000" w:themeColor="text1"/>
          <w:sz w:val="32"/>
          <w:szCs w:val="32"/>
          <w:lang w:val="en-US"/>
          <w14:textFill>
            <w14:solidFill>
              <w14:schemeClr w14:val="tx1"/>
            </w14:solidFill>
          </w14:textFill>
        </w:rPr>
        <w:t>7</w:t>
      </w:r>
      <w:r>
        <w:rPr>
          <w:rStyle w:val="25"/>
          <w:rFonts w:hint="eastAsia" w:ascii="仿宋" w:hAnsi="仿宋" w:eastAsia="仿宋" w:cs="仿宋"/>
          <w:color w:val="000000" w:themeColor="text1"/>
          <w:sz w:val="32"/>
          <w:szCs w:val="32"/>
          <w14:textFill>
            <w14:solidFill>
              <w14:schemeClr w14:val="tx1"/>
            </w14:solidFill>
          </w14:textFill>
        </w:rPr>
        <w:t>人，副高级</w:t>
      </w:r>
      <w:r>
        <w:rPr>
          <w:rStyle w:val="25"/>
          <w:rFonts w:hint="eastAsia" w:ascii="仿宋" w:hAnsi="仿宋" w:eastAsia="仿宋" w:cs="仿宋"/>
          <w:color w:val="000000" w:themeColor="text1"/>
          <w:sz w:val="32"/>
          <w:szCs w:val="32"/>
          <w:lang w:val="en-US"/>
          <w14:textFill>
            <w14:solidFill>
              <w14:schemeClr w14:val="tx1"/>
            </w14:solidFill>
          </w14:textFill>
        </w:rPr>
        <w:t>15</w:t>
      </w:r>
      <w:r>
        <w:rPr>
          <w:rStyle w:val="25"/>
          <w:rFonts w:hint="eastAsia" w:ascii="仿宋" w:hAnsi="仿宋" w:eastAsia="仿宋" w:cs="仿宋"/>
          <w:color w:val="000000" w:themeColor="text1"/>
          <w:sz w:val="32"/>
          <w:szCs w:val="32"/>
          <w14:textFill>
            <w14:solidFill>
              <w14:schemeClr w14:val="tx1"/>
            </w14:solidFill>
          </w14:textFill>
        </w:rPr>
        <w:t>人，正高级职称比例</w:t>
      </w:r>
      <w:r>
        <w:rPr>
          <w:rStyle w:val="25"/>
          <w:rFonts w:hint="eastAsia" w:ascii="仿宋" w:hAnsi="仿宋" w:eastAsia="仿宋" w:cs="仿宋"/>
          <w:color w:val="000000" w:themeColor="text1"/>
          <w:sz w:val="32"/>
          <w:szCs w:val="32"/>
          <w:lang w:val="en-US"/>
          <w14:textFill>
            <w14:solidFill>
              <w14:schemeClr w14:val="tx1"/>
            </w14:solidFill>
          </w14:textFill>
        </w:rPr>
        <w:t>20.1</w:t>
      </w:r>
      <w:r>
        <w:rPr>
          <w:rStyle w:val="25"/>
          <w:rFonts w:hint="eastAsia" w:ascii="仿宋" w:hAnsi="仿宋" w:eastAsia="仿宋" w:cs="仿宋"/>
          <w:color w:val="000000" w:themeColor="text1"/>
          <w:sz w:val="32"/>
          <w:szCs w:val="32"/>
          <w14:textFill>
            <w14:solidFill>
              <w14:schemeClr w14:val="tx1"/>
            </w14:solidFill>
          </w14:textFill>
        </w:rPr>
        <w:t>%；获得博士学位</w:t>
      </w:r>
      <w:r>
        <w:rPr>
          <w:rStyle w:val="25"/>
          <w:rFonts w:hint="eastAsia" w:ascii="仿宋" w:hAnsi="仿宋" w:eastAsia="仿宋" w:cs="仿宋"/>
          <w:color w:val="000000" w:themeColor="text1"/>
          <w:sz w:val="32"/>
          <w:szCs w:val="32"/>
          <w:lang w:val="en-US"/>
          <w14:textFill>
            <w14:solidFill>
              <w14:schemeClr w14:val="tx1"/>
            </w14:solidFill>
          </w14:textFill>
        </w:rPr>
        <w:t>28人，</w:t>
      </w:r>
      <w:r>
        <w:rPr>
          <w:rStyle w:val="25"/>
          <w:rFonts w:hint="eastAsia" w:ascii="仿宋" w:hAnsi="仿宋" w:eastAsia="仿宋" w:cs="仿宋"/>
          <w:color w:val="000000" w:themeColor="text1"/>
          <w:sz w:val="32"/>
          <w:szCs w:val="32"/>
          <w14:textFill>
            <w14:solidFill>
              <w14:schemeClr w14:val="tx1"/>
            </w14:solidFill>
          </w14:textFill>
        </w:rPr>
        <w:t>占比</w:t>
      </w:r>
      <w:r>
        <w:rPr>
          <w:rStyle w:val="25"/>
          <w:rFonts w:hint="eastAsia" w:ascii="仿宋" w:hAnsi="仿宋" w:eastAsia="仿宋" w:cs="仿宋"/>
          <w:color w:val="000000" w:themeColor="text1"/>
          <w:sz w:val="32"/>
          <w:szCs w:val="32"/>
          <w:lang w:val="en-US"/>
          <w14:textFill>
            <w14:solidFill>
              <w14:schemeClr w14:val="tx1"/>
            </w14:solidFill>
          </w14:textFill>
        </w:rPr>
        <w:t>82.5</w:t>
      </w:r>
      <w:r>
        <w:rPr>
          <w:rStyle w:val="25"/>
          <w:rFonts w:hint="eastAsia" w:ascii="仿宋" w:hAnsi="仿宋" w:eastAsia="仿宋" w:cs="仿宋"/>
          <w:color w:val="000000" w:themeColor="text1"/>
          <w:sz w:val="32"/>
          <w:szCs w:val="32"/>
          <w14:textFill>
            <w14:solidFill>
              <w14:schemeClr w14:val="tx1"/>
            </w14:solidFill>
          </w14:textFill>
        </w:rPr>
        <w:t>%。</w:t>
      </w:r>
    </w:p>
    <w:p>
      <w:pPr>
        <w:pStyle w:val="2"/>
        <w:spacing w:line="580" w:lineRule="exact"/>
        <w:ind w:firstLine="602"/>
        <w:rPr>
          <w:rStyle w:val="25"/>
          <w:rFonts w:hint="eastAsia" w:ascii="黑体" w:hAnsi="黑体" w:eastAsia="黑体" w:cs="黑体"/>
          <w:b/>
          <w:bCs w:val="0"/>
          <w:color w:val="auto"/>
          <w:sz w:val="32"/>
          <w:szCs w:val="32"/>
        </w:rPr>
      </w:pPr>
      <w:r>
        <w:rPr>
          <w:rStyle w:val="25"/>
          <w:rFonts w:hint="eastAsia" w:ascii="黑体" w:hAnsi="黑体" w:eastAsia="黑体" w:cs="黑体"/>
          <w:b/>
          <w:bCs w:val="0"/>
          <w:color w:val="auto"/>
          <w:sz w:val="32"/>
          <w:szCs w:val="32"/>
        </w:rPr>
        <w:t>二、研究生党建与思想政治教育工作</w:t>
      </w:r>
    </w:p>
    <w:p>
      <w:pPr>
        <w:spacing w:line="580" w:lineRule="exact"/>
        <w:ind w:firstLine="640" w:firstLineChars="200"/>
        <w:rPr>
          <w:rStyle w:val="25"/>
          <w:rFonts w:hint="eastAsia" w:ascii="仿宋" w:hAnsi="仿宋" w:eastAsia="仿宋" w:cs="仿宋"/>
          <w:sz w:val="32"/>
          <w:szCs w:val="32"/>
        </w:rPr>
      </w:pPr>
      <w:r>
        <w:rPr>
          <w:rStyle w:val="25"/>
          <w:rFonts w:hint="eastAsia" w:ascii="仿宋" w:hAnsi="仿宋" w:eastAsia="仿宋" w:cs="仿宋"/>
          <w:sz w:val="32"/>
          <w:szCs w:val="32"/>
        </w:rPr>
        <w:t>本学位点以学校开启二次创业新征程为起点，通过解放思想大讨论活动，营造“思想大解放、作风大转变、能力大提升”良好氛围，强化党建引领，激发凝心聚力新活力。学校作为“江西省高校党的基层组织建设创新成果”一等奖（2016年）单位，始终坚持夯实基层党组织建设，构建“学校党委统领、研究生院党委主抓、培养学院党委协同、研究生支部规范配置”的基层党组织网格化格局，形成基层党组织建设三大工作特色：</w:t>
      </w:r>
    </w:p>
    <w:p>
      <w:pPr>
        <w:spacing w:line="580" w:lineRule="exact"/>
        <w:ind w:firstLine="640" w:firstLineChars="200"/>
        <w:rPr>
          <w:rStyle w:val="25"/>
          <w:rFonts w:hint="eastAsia" w:ascii="仿宋" w:hAnsi="仿宋" w:eastAsia="仿宋" w:cs="仿宋"/>
          <w:sz w:val="32"/>
          <w:szCs w:val="32"/>
        </w:rPr>
      </w:pPr>
      <w:r>
        <w:rPr>
          <w:rStyle w:val="25"/>
          <w:rFonts w:hint="eastAsia" w:ascii="仿宋" w:hAnsi="仿宋" w:eastAsia="仿宋" w:cs="仿宋"/>
          <w:sz w:val="32"/>
          <w:szCs w:val="32"/>
        </w:rPr>
        <w:t>一是党建工作创新化，打造四项工程：“连心、强基、模范”、“党性锻炼”、“凝心聚力”、“能力建设”四项工程推进有声有色；</w:t>
      </w:r>
    </w:p>
    <w:p>
      <w:pPr>
        <w:spacing w:line="580" w:lineRule="exact"/>
        <w:ind w:firstLine="640" w:firstLineChars="200"/>
        <w:rPr>
          <w:rStyle w:val="25"/>
          <w:rFonts w:hint="eastAsia" w:ascii="仿宋" w:hAnsi="仿宋" w:eastAsia="仿宋" w:cs="仿宋"/>
          <w:sz w:val="32"/>
          <w:szCs w:val="32"/>
        </w:rPr>
      </w:pPr>
      <w:r>
        <w:rPr>
          <w:rStyle w:val="25"/>
          <w:rFonts w:hint="eastAsia" w:ascii="仿宋" w:hAnsi="仿宋" w:eastAsia="仿宋" w:cs="仿宋"/>
          <w:sz w:val="32"/>
          <w:szCs w:val="32"/>
        </w:rPr>
        <w:t>二是党建工作系统化，推进系列项目：“红色课堂、红色旋律、红色记忆、红色足迹、红色情怀、红色先锋”六大红色系列项目获“江西省高校校园文化建设成果”一等奖，并确定为“江西省高校基层党建工作重点项目”；</w:t>
      </w:r>
    </w:p>
    <w:p>
      <w:pPr>
        <w:spacing w:line="580" w:lineRule="exact"/>
        <w:ind w:firstLine="640" w:firstLineChars="200"/>
        <w:rPr>
          <w:rStyle w:val="25"/>
          <w:rFonts w:hint="eastAsia" w:ascii="仿宋" w:hAnsi="仿宋" w:eastAsia="仿宋" w:cs="仿宋"/>
          <w:sz w:val="32"/>
          <w:szCs w:val="32"/>
        </w:rPr>
      </w:pPr>
      <w:r>
        <w:rPr>
          <w:rStyle w:val="25"/>
          <w:rFonts w:hint="eastAsia" w:ascii="仿宋" w:hAnsi="仿宋" w:eastAsia="仿宋" w:cs="仿宋"/>
          <w:sz w:val="32"/>
          <w:szCs w:val="32"/>
        </w:rPr>
        <w:t>三是党建工作人本化，促进和谐校园建设：作为江西省党建工作优秀高校，学校连续多年被授予“江西省综治工作先进单位”。本学科研究生辅导员中专职人员比例、专职辅导员生师比均达到国家要求的200︰1的标准。</w:t>
      </w:r>
    </w:p>
    <w:p>
      <w:pPr>
        <w:spacing w:line="580" w:lineRule="exact"/>
        <w:ind w:firstLine="640" w:firstLineChars="200"/>
        <w:rPr>
          <w:rStyle w:val="25"/>
          <w:rFonts w:hint="eastAsia" w:ascii="仿宋" w:hAnsi="仿宋" w:eastAsia="仿宋" w:cs="仿宋"/>
          <w:sz w:val="32"/>
          <w:szCs w:val="32"/>
        </w:rPr>
      </w:pPr>
      <w:r>
        <w:rPr>
          <w:rStyle w:val="25"/>
          <w:rFonts w:hint="eastAsia" w:ascii="仿宋" w:hAnsi="仿宋" w:eastAsia="仿宋" w:cs="仿宋"/>
          <w:sz w:val="32"/>
          <w:szCs w:val="32"/>
        </w:rPr>
        <w:t>本学位点坚持同向同行，春风化雨，构建“两拓三联四化”大思政格局：以两拓提升思政针对性，实现思想政治理论课堂到专业课堂、第一课堂到第二课堂的两个拓展；以 “三联”，提升思政的协同性，建立校领导联系学院、班级和学生，处级干部联系班级和学生，专业教师联系相应课程学生的机制；以“四化”提升思政的有效性，坚持特色化让思政有深度，坚持系统化让思政有热度，坚持典型化让思政有广度，坚持时代化让思政有力度。</w:t>
      </w:r>
    </w:p>
    <w:p>
      <w:pPr>
        <w:pStyle w:val="2"/>
        <w:spacing w:line="580" w:lineRule="exact"/>
        <w:ind w:firstLine="643"/>
        <w:rPr>
          <w:rStyle w:val="25"/>
          <w:rFonts w:hint="eastAsia" w:ascii="黑体" w:hAnsi="黑体" w:eastAsia="黑体" w:cs="黑体"/>
          <w:b/>
          <w:color w:val="auto"/>
          <w:sz w:val="32"/>
          <w:szCs w:val="32"/>
        </w:rPr>
      </w:pPr>
      <w:r>
        <w:rPr>
          <w:rStyle w:val="25"/>
          <w:rFonts w:hint="eastAsia" w:ascii="黑体" w:hAnsi="黑体" w:eastAsia="黑体" w:cs="黑体"/>
          <w:b/>
          <w:color w:val="auto"/>
          <w:sz w:val="32"/>
          <w:szCs w:val="32"/>
        </w:rPr>
        <w:t>三、研究生培养相关制度及执行情况</w:t>
      </w:r>
    </w:p>
    <w:p>
      <w:pPr>
        <w:pStyle w:val="2"/>
        <w:spacing w:line="580" w:lineRule="exact"/>
        <w:ind w:firstLine="602"/>
        <w:rPr>
          <w:rStyle w:val="25"/>
          <w:rFonts w:hint="eastAsia" w:ascii="仿宋" w:hAnsi="仿宋" w:eastAsia="仿宋" w:cs="仿宋"/>
          <w:b/>
          <w:color w:val="auto"/>
          <w:sz w:val="32"/>
          <w:szCs w:val="32"/>
        </w:rPr>
      </w:pPr>
      <w:r>
        <w:rPr>
          <w:rStyle w:val="25"/>
          <w:rFonts w:hint="eastAsia" w:ascii="仿宋" w:hAnsi="仿宋" w:eastAsia="仿宋" w:cs="仿宋"/>
          <w:b/>
          <w:color w:val="auto"/>
          <w:sz w:val="32"/>
          <w:szCs w:val="32"/>
        </w:rPr>
        <w:t>（一）课程建设与实施情况</w:t>
      </w:r>
    </w:p>
    <w:p>
      <w:pPr>
        <w:pStyle w:val="10"/>
        <w:widowControl/>
        <w:spacing w:beforeAutospacing="0" w:afterAutospacing="0" w:line="580" w:lineRule="exact"/>
        <w:ind w:firstLine="640" w:firstLineChars="200"/>
        <w:rPr>
          <w:rStyle w:val="25"/>
          <w:rFonts w:hint="eastAsia" w:ascii="仿宋" w:hAnsi="仿宋" w:eastAsia="仿宋" w:cs="仿宋"/>
          <w:sz w:val="32"/>
          <w:szCs w:val="32"/>
        </w:rPr>
      </w:pPr>
      <w:r>
        <w:rPr>
          <w:rStyle w:val="25"/>
          <w:rFonts w:hint="eastAsia" w:ascii="仿宋" w:hAnsi="仿宋" w:eastAsia="仿宋" w:cs="仿宋"/>
          <w:b w:val="0"/>
          <w:bCs w:val="0"/>
          <w:sz w:val="32"/>
          <w:szCs w:val="32"/>
        </w:rPr>
        <w:t>重视课程学习，加强课程建设，提高课程质量，是当前深化研究生教</w:t>
      </w:r>
      <w:r>
        <w:rPr>
          <w:rStyle w:val="25"/>
          <w:rFonts w:hint="eastAsia" w:ascii="仿宋" w:hAnsi="仿宋" w:eastAsia="仿宋" w:cs="仿宋"/>
          <w:sz w:val="32"/>
          <w:szCs w:val="32"/>
        </w:rPr>
        <w:t>育改革的重要和紧迫任务。根据教育硕士的职业背景，研究生院及各培养单位日益强调课程内容的实践性和应用性。课程教学改革注重培养学生树立正确的政治方向、价值取向、学术导向，实现学术力向培养力的转变，做到学术水平与指导水平、教学水平的同步，将学术优势转化为育人优势，提升研究生的综合素质。</w:t>
      </w:r>
    </w:p>
    <w:p>
      <w:pPr>
        <w:pStyle w:val="6"/>
        <w:spacing w:after="0" w:line="580" w:lineRule="exact"/>
        <w:ind w:firstLine="640" w:firstLineChars="200"/>
        <w:rPr>
          <w:rStyle w:val="25"/>
          <w:rFonts w:hint="eastAsia" w:ascii="仿宋" w:hAnsi="仿宋" w:eastAsia="仿宋" w:cs="仿宋"/>
          <w:sz w:val="32"/>
          <w:szCs w:val="32"/>
        </w:rPr>
      </w:pPr>
      <w:r>
        <w:rPr>
          <w:rStyle w:val="25"/>
          <w:rFonts w:hint="eastAsia" w:ascii="仿宋" w:hAnsi="仿宋" w:eastAsia="仿宋" w:cs="仿宋"/>
          <w:sz w:val="32"/>
          <w:szCs w:val="32"/>
        </w:rPr>
        <w:t>通过适当调整学位基础课和专业必修课的比例和内容，增加专业选修类课程，加强实践课程的开设，诸如多媒体教学技能训练，教育硕士学术论坛，开展讲课、说课技能大赛，使学生领略到了不同的教学艺术。通过调整纯理论课程的比例和内容，改变课程设置的学术化倾向，课程设置以现代教学思想、理念为指导，开设与基础教育师资质量要求相一致的课程。关注信息化环境下的教学改革，关注学生个性化、多样性的学习和发展需求，结合教师自身经验，开展模块化教学课程，从而加强实践教学课程内容与学生生活和现实社会的联系，让实践教学课程增添时代的源泉和生活的动力。</w:t>
      </w:r>
    </w:p>
    <w:p>
      <w:pPr>
        <w:pStyle w:val="2"/>
        <w:spacing w:line="580" w:lineRule="exact"/>
        <w:ind w:firstLine="602"/>
        <w:rPr>
          <w:rStyle w:val="25"/>
          <w:rFonts w:hint="eastAsia" w:ascii="仿宋" w:hAnsi="仿宋" w:eastAsia="仿宋" w:cs="仿宋"/>
          <w:b/>
          <w:color w:val="auto"/>
          <w:sz w:val="32"/>
          <w:szCs w:val="32"/>
        </w:rPr>
      </w:pPr>
      <w:r>
        <w:rPr>
          <w:rStyle w:val="25"/>
          <w:rFonts w:hint="eastAsia" w:ascii="仿宋" w:hAnsi="仿宋" w:eastAsia="仿宋" w:cs="仿宋"/>
          <w:b/>
          <w:color w:val="auto"/>
          <w:sz w:val="32"/>
          <w:szCs w:val="32"/>
        </w:rPr>
        <w:t>（二）导师选拔培训</w:t>
      </w:r>
    </w:p>
    <w:p>
      <w:pPr>
        <w:widowControl/>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14:textFill>
            <w14:solidFill>
              <w14:schemeClr w14:val="tx1"/>
            </w14:solidFill>
          </w14:textFill>
        </w:rPr>
        <w:t>2023年度，</w:t>
      </w:r>
      <w:r>
        <w:rPr>
          <w:rFonts w:hint="eastAsia" w:ascii="仿宋" w:hAnsi="仿宋" w:eastAsia="仿宋" w:cs="仿宋"/>
          <w:color w:val="000000" w:themeColor="text1"/>
          <w:kern w:val="0"/>
          <w:sz w:val="32"/>
          <w:szCs w:val="32"/>
          <w14:textFill>
            <w14:solidFill>
              <w14:schemeClr w14:val="tx1"/>
            </w14:solidFill>
          </w14:textFill>
        </w:rPr>
        <w:t>依据《硕士研究生指导教师岗位聘任管理办法》、《兼职硕士研究生指导教师岗位评聘与管理办法》、《硕士研究生指导教师考核管理办法》三个基本文件，对所有导师实行动态管理，一年一考核上岗资格，考核近三年导师业绩，明确：第1年考核合格的导师，继续上岗指导学生，第1年考核不合格的，将不可继续上岗指导学生，并要求列出整改清单进行整改。第2年考核不合格者，直接取消导师上岗资格。以此为抓手，本学科对教育学涉及的学科、学位点（方向）硕士进行了新一轮的动态调整，以切实提升研究生培养质量。</w:t>
      </w:r>
    </w:p>
    <w:p>
      <w:pPr>
        <w:widowControl/>
        <w:ind w:firstLine="640" w:firstLineChars="200"/>
        <w:jc w:val="left"/>
        <w:rPr>
          <w:rStyle w:val="25"/>
          <w:rFonts w:hint="eastAsia" w:ascii="仿宋" w:hAnsi="仿宋" w:eastAsia="仿宋" w:cs="仿宋"/>
          <w:sz w:val="32"/>
          <w:szCs w:val="32"/>
        </w:rPr>
      </w:pPr>
      <w:r>
        <w:rPr>
          <w:rFonts w:hint="eastAsia" w:ascii="仿宋" w:hAnsi="仿宋" w:eastAsia="仿宋" w:cs="仿宋"/>
          <w:kern w:val="0"/>
          <w:sz w:val="32"/>
          <w:szCs w:val="32"/>
          <w:lang w:eastAsia="zh-CN"/>
        </w:rPr>
        <w:t>与此同时，</w:t>
      </w:r>
      <w:r>
        <w:rPr>
          <w:rFonts w:hint="eastAsia" w:ascii="仿宋" w:hAnsi="仿宋" w:eastAsia="仿宋" w:cs="仿宋"/>
          <w:kern w:val="0"/>
          <w:sz w:val="32"/>
          <w:szCs w:val="32"/>
        </w:rPr>
        <w:t>明确教育硕士导师职责。各培养单位根据研究生院的相关管理制度组建并完善校外导师队伍，明确了校内外导师的职责要求、履职情况、指导效果、奖惩措施等，使导师成为循证实践者、学习环境营造者和课程设计者，并促进双导师制度系统化，比如，创建了与各个专业相关的实践教学基地，聘请了本学科领域内、具备较厚的理论基础和丰富的实践经验的专家作为指导教师。</w:t>
      </w:r>
    </w:p>
    <w:p>
      <w:pPr>
        <w:spacing w:line="580" w:lineRule="exact"/>
        <w:ind w:firstLine="643" w:firstLineChars="200"/>
        <w:rPr>
          <w:rStyle w:val="25"/>
          <w:rFonts w:hint="eastAsia" w:ascii="仿宋" w:hAnsi="仿宋" w:eastAsia="仿宋" w:cs="仿宋"/>
          <w:b/>
          <w:sz w:val="32"/>
          <w:szCs w:val="32"/>
        </w:rPr>
      </w:pPr>
      <w:r>
        <w:rPr>
          <w:rStyle w:val="25"/>
          <w:rFonts w:hint="eastAsia" w:ascii="仿宋" w:hAnsi="仿宋" w:eastAsia="仿宋" w:cs="仿宋"/>
          <w:b/>
          <w:sz w:val="32"/>
          <w:szCs w:val="32"/>
        </w:rPr>
        <w:t>（三）师德师风建设情况</w:t>
      </w:r>
    </w:p>
    <w:p>
      <w:pPr>
        <w:spacing w:line="580" w:lineRule="exact"/>
        <w:ind w:firstLine="640" w:firstLineChars="200"/>
        <w:rPr>
          <w:rStyle w:val="25"/>
          <w:rFonts w:hint="eastAsia" w:ascii="仿宋" w:hAnsi="仿宋" w:eastAsia="仿宋" w:cs="仿宋"/>
          <w:sz w:val="32"/>
          <w:szCs w:val="32"/>
        </w:rPr>
      </w:pPr>
      <w:r>
        <w:rPr>
          <w:rStyle w:val="25"/>
          <w:rFonts w:hint="eastAsia" w:ascii="仿宋" w:hAnsi="仿宋" w:eastAsia="仿宋" w:cs="仿宋"/>
          <w:sz w:val="32"/>
          <w:szCs w:val="32"/>
        </w:rPr>
        <w:t>本学位点以习近平总书记关于师德师风建设的重要论述为主要遵循，以“内强素质、外塑形象”为主要目标，坚持“外延展、内联动”的工作思路，不断完善师德师风建设长效机制，主要举措有：</w:t>
      </w:r>
    </w:p>
    <w:p>
      <w:pPr>
        <w:spacing w:line="580" w:lineRule="exact"/>
        <w:ind w:firstLine="640" w:firstLineChars="200"/>
        <w:rPr>
          <w:rStyle w:val="25"/>
          <w:rFonts w:hint="eastAsia" w:ascii="仿宋" w:hAnsi="仿宋" w:eastAsia="仿宋" w:cs="仿宋"/>
          <w:sz w:val="32"/>
          <w:szCs w:val="32"/>
        </w:rPr>
      </w:pPr>
      <w:r>
        <w:rPr>
          <w:rStyle w:val="25"/>
          <w:rFonts w:hint="eastAsia" w:ascii="仿宋" w:hAnsi="仿宋" w:eastAsia="仿宋" w:cs="仿宋"/>
          <w:sz w:val="32"/>
          <w:szCs w:val="32"/>
        </w:rPr>
        <w:t>1.强化党建引领，注重思想铸魂，将提高思想政治素质放到首要位置。坚持和完善每周二下午的教师理论学习制度，建立理论学习系统化、常态化机制。注重理论与实践相结合，引导教师在了解社会、服务社会的过程中，增进对中国特色社会主义的政治认同、思想认同、理论认同、情感认同。推进教师党组织标准化、规范化建设，推进教师党支部“双高示范”工程，使基层党组织和党员教师示范引领作用落实落地。</w:t>
      </w:r>
    </w:p>
    <w:p>
      <w:pPr>
        <w:spacing w:line="580" w:lineRule="exact"/>
        <w:ind w:firstLine="640" w:firstLineChars="200"/>
        <w:rPr>
          <w:rStyle w:val="25"/>
          <w:rFonts w:hint="eastAsia" w:ascii="仿宋" w:hAnsi="仿宋" w:eastAsia="仿宋" w:cs="仿宋"/>
          <w:sz w:val="32"/>
          <w:szCs w:val="32"/>
        </w:rPr>
      </w:pPr>
      <w:r>
        <w:rPr>
          <w:rStyle w:val="25"/>
          <w:rFonts w:hint="eastAsia" w:ascii="仿宋" w:hAnsi="仿宋" w:eastAsia="仿宋" w:cs="仿宋"/>
          <w:sz w:val="32"/>
          <w:szCs w:val="32"/>
        </w:rPr>
        <w:t>2.强化教育引导，注重价值导向，将全方位构建师德师风教育体系纳入管理规程。建立和健全师德师风考核制度，形成课堂育德、典型树德、规则立德机制。注重师德涵养与教育教学工作、立德树人实践结合，注重优秀教师宣传活动，发挥身边的人、身边的事的示范和带动作用。加强法治教育，强化警示教育，使全体教师的法治素养、规则意识自觉转化为依法执教、规范执教能力。</w:t>
      </w:r>
    </w:p>
    <w:p>
      <w:pPr>
        <w:spacing w:line="580" w:lineRule="exact"/>
        <w:ind w:firstLine="640" w:firstLineChars="200"/>
        <w:rPr>
          <w:rStyle w:val="25"/>
          <w:rFonts w:hint="eastAsia" w:ascii="仿宋" w:hAnsi="仿宋" w:eastAsia="仿宋" w:cs="仿宋"/>
          <w:sz w:val="32"/>
          <w:szCs w:val="32"/>
        </w:rPr>
      </w:pPr>
      <w:r>
        <w:rPr>
          <w:rStyle w:val="25"/>
          <w:rFonts w:hint="eastAsia" w:ascii="仿宋" w:hAnsi="仿宋" w:eastAsia="仿宋" w:cs="仿宋"/>
          <w:sz w:val="32"/>
          <w:szCs w:val="32"/>
        </w:rPr>
        <w:t>3.强化日常管理，注重考核评价，将师德师风要求融入教师管理各环节。贯彻“四严（严格招聘引进、严格考核评价、严格师德督导、严格违规惩处）”要求，形成师德师风建设 “做在日常、严在日常” 工作态势，在教师的招聘引进、考核评价、日常监督与违规惩处等方面，突出师德师风第一标准。在岗位聘任、职称晋升、评优评选、项目推荐中，实施师德师风“一票否决”。</w:t>
      </w:r>
    </w:p>
    <w:p>
      <w:pPr>
        <w:pStyle w:val="2"/>
        <w:spacing w:line="580" w:lineRule="exact"/>
        <w:ind w:firstLine="602"/>
        <w:rPr>
          <w:rStyle w:val="25"/>
          <w:rFonts w:hint="eastAsia" w:ascii="仿宋" w:hAnsi="仿宋" w:eastAsia="仿宋" w:cs="仿宋"/>
          <w:b/>
          <w:color w:val="auto"/>
          <w:sz w:val="32"/>
          <w:szCs w:val="32"/>
        </w:rPr>
      </w:pPr>
      <w:r>
        <w:rPr>
          <w:rStyle w:val="25"/>
          <w:rFonts w:hint="eastAsia" w:ascii="仿宋" w:hAnsi="仿宋" w:eastAsia="仿宋" w:cs="仿宋"/>
          <w:b/>
          <w:color w:val="auto"/>
          <w:sz w:val="32"/>
          <w:szCs w:val="32"/>
        </w:rPr>
        <w:t>（四）学术训练情况</w:t>
      </w:r>
    </w:p>
    <w:p>
      <w:pPr>
        <w:spacing w:line="560" w:lineRule="exact"/>
        <w:ind w:firstLine="643" w:firstLineChars="200"/>
        <w:rPr>
          <w:rFonts w:ascii="仿宋" w:hAnsi="仿宋" w:eastAsia="仿宋"/>
          <w:color w:val="auto"/>
          <w:kern w:val="0"/>
          <w:sz w:val="32"/>
          <w:szCs w:val="32"/>
        </w:rPr>
      </w:pPr>
      <w:r>
        <w:rPr>
          <w:rStyle w:val="25"/>
          <w:rFonts w:hint="eastAsia" w:ascii="仿宋" w:hAnsi="仿宋" w:eastAsia="仿宋" w:cs="仿宋"/>
          <w:b/>
          <w:bCs/>
          <w:sz w:val="32"/>
          <w:szCs w:val="32"/>
        </w:rPr>
        <w:t>1.</w:t>
      </w:r>
      <w:r>
        <w:rPr>
          <w:rFonts w:hint="eastAsia" w:ascii="仿宋" w:hAnsi="仿宋" w:eastAsia="仿宋" w:cs="仿宋"/>
          <w:b/>
          <w:bCs/>
          <w:kern w:val="0"/>
          <w:sz w:val="32"/>
          <w:szCs w:val="32"/>
        </w:rPr>
        <w:t>以赛促学，强化教师教育技能。</w:t>
      </w:r>
      <w:r>
        <w:rPr>
          <w:rFonts w:hint="eastAsia" w:ascii="仿宋" w:hAnsi="仿宋" w:eastAsia="仿宋"/>
          <w:kern w:val="0"/>
          <w:sz w:val="32"/>
          <w:szCs w:val="32"/>
          <w:lang w:eastAsia="zh-CN"/>
        </w:rPr>
        <w:t>左璇</w:t>
      </w:r>
      <w:r>
        <w:rPr>
          <w:rFonts w:hint="eastAsia" w:ascii="仿宋" w:hAnsi="仿宋" w:eastAsia="仿宋"/>
          <w:kern w:val="0"/>
          <w:sz w:val="32"/>
          <w:szCs w:val="32"/>
        </w:rPr>
        <w:t>老师团队</w:t>
      </w:r>
      <w:r>
        <w:rPr>
          <w:rFonts w:hint="eastAsia" w:ascii="仿宋" w:hAnsi="仿宋" w:eastAsia="仿宋"/>
          <w:color w:val="auto"/>
          <w:kern w:val="0"/>
          <w:sz w:val="32"/>
          <w:szCs w:val="32"/>
        </w:rPr>
        <w:t>获得全国高校教师教学创新团队大赛一等奖</w:t>
      </w:r>
      <w:r>
        <w:rPr>
          <w:rFonts w:hint="eastAsia" w:ascii="仿宋" w:hAnsi="仿宋" w:eastAsia="仿宋"/>
          <w:color w:val="auto"/>
          <w:kern w:val="0"/>
          <w:sz w:val="32"/>
          <w:szCs w:val="32"/>
          <w:lang w:eastAsia="zh-CN"/>
        </w:rPr>
        <w:t>；</w:t>
      </w:r>
      <w:r>
        <w:rPr>
          <w:rFonts w:hint="eastAsia" w:ascii="仿宋" w:hAnsi="仿宋" w:eastAsia="仿宋"/>
          <w:color w:val="auto"/>
          <w:kern w:val="0"/>
          <w:sz w:val="32"/>
          <w:szCs w:val="32"/>
        </w:rPr>
        <w:t>2023年第四届全国高校教师教学元宇宙数字化技术创新大赛</w:t>
      </w:r>
      <w:bookmarkStart w:id="0" w:name="_GoBack"/>
      <w:bookmarkEnd w:id="0"/>
      <w:r>
        <w:rPr>
          <w:rFonts w:hint="eastAsia" w:ascii="仿宋" w:hAnsi="仿宋" w:eastAsia="仿宋"/>
          <w:color w:val="auto"/>
          <w:kern w:val="0"/>
          <w:sz w:val="32"/>
          <w:szCs w:val="32"/>
        </w:rPr>
        <w:t>（以下简称“教师大赛”）中获得一等奖和二等奖各一项。在中国国际大学生创新大赛（2023）中，教育学科师生团队的“幻动宇宙”项目获得国银。学科教师获得江西省教学成果奖特等奖2项，一等奖</w:t>
      </w:r>
      <w:r>
        <w:rPr>
          <w:rFonts w:ascii="仿宋" w:hAnsi="仿宋" w:eastAsia="仿宋"/>
          <w:color w:val="auto"/>
          <w:kern w:val="0"/>
          <w:sz w:val="32"/>
          <w:szCs w:val="32"/>
        </w:rPr>
        <w:t>1</w:t>
      </w:r>
      <w:r>
        <w:rPr>
          <w:rFonts w:hint="eastAsia" w:ascii="仿宋" w:hAnsi="仿宋" w:eastAsia="仿宋"/>
          <w:color w:val="auto"/>
          <w:kern w:val="0"/>
          <w:sz w:val="32"/>
          <w:szCs w:val="32"/>
        </w:rPr>
        <w:t>项，二等奖3项。</w:t>
      </w:r>
    </w:p>
    <w:p>
      <w:pPr>
        <w:ind w:firstLine="643" w:firstLineChars="200"/>
        <w:rPr>
          <w:rStyle w:val="25"/>
          <w:rFonts w:hint="eastAsia" w:ascii="仿宋" w:hAnsi="仿宋" w:eastAsia="仿宋" w:cs="仿宋"/>
          <w:sz w:val="32"/>
          <w:szCs w:val="32"/>
        </w:rPr>
      </w:pPr>
      <w:r>
        <w:rPr>
          <w:rFonts w:hint="eastAsia" w:ascii="仿宋" w:hAnsi="仿宋" w:eastAsia="仿宋" w:cs="仿宋"/>
          <w:b/>
          <w:bCs/>
          <w:kern w:val="0"/>
          <w:sz w:val="32"/>
          <w:szCs w:val="32"/>
          <w:lang w:val="en-US" w:eastAsia="zh-CN"/>
        </w:rPr>
        <w:t>2.</w:t>
      </w:r>
      <w:r>
        <w:rPr>
          <w:rFonts w:hint="eastAsia" w:ascii="仿宋" w:hAnsi="仿宋" w:eastAsia="仿宋" w:cs="仿宋"/>
          <w:b/>
          <w:bCs/>
          <w:kern w:val="0"/>
          <w:sz w:val="32"/>
          <w:szCs w:val="32"/>
        </w:rPr>
        <w:t>以会增养，拓展学术视野。</w:t>
      </w:r>
      <w:r>
        <w:rPr>
          <w:rFonts w:hint="eastAsia" w:ascii="仿宋" w:hAnsi="仿宋" w:eastAsia="仿宋"/>
          <w:kern w:val="0"/>
          <w:sz w:val="32"/>
          <w:szCs w:val="32"/>
        </w:rPr>
        <w:t>以赛促学，强化教师教育技能。2023年下半年，教育类在中国国际大学生创新大赛中获得</w:t>
      </w:r>
      <w:r>
        <w:rPr>
          <w:rFonts w:ascii="仿宋" w:hAnsi="仿宋" w:eastAsia="仿宋"/>
          <w:kern w:val="0"/>
          <w:sz w:val="32"/>
          <w:szCs w:val="32"/>
        </w:rPr>
        <w:t>国银</w:t>
      </w:r>
      <w:r>
        <w:rPr>
          <w:rFonts w:hint="eastAsia" w:ascii="仿宋" w:hAnsi="仿宋" w:eastAsia="仿宋"/>
          <w:kern w:val="0"/>
          <w:sz w:val="32"/>
          <w:szCs w:val="32"/>
        </w:rPr>
        <w:t>，在2023年第四届全国高校教师教学元宇宙数字化技术创新大赛（以下简称“教师大赛”）中获得一等奖和二等奖各一项。今年下半年，江西省举办了第三届教育类研究生学术论坛，我校学生积极参加了江西省教育经济学研究会第三届研究生论坛，获一等奖1项、二等奖5项、三等奖6项。</w:t>
      </w:r>
      <w:r>
        <w:rPr>
          <w:rFonts w:hint="eastAsia" w:ascii="仿宋" w:hAnsi="仿宋" w:eastAsia="仿宋" w:cs="仿宋"/>
          <w:sz w:val="32"/>
          <w:szCs w:val="32"/>
          <w:lang w:eastAsia="zh-CN"/>
        </w:rPr>
        <w:t>为</w:t>
      </w:r>
      <w:r>
        <w:rPr>
          <w:rFonts w:hint="eastAsia" w:ascii="仿宋" w:hAnsi="仿宋" w:eastAsia="仿宋" w:cs="仿宋"/>
          <w:sz w:val="32"/>
          <w:szCs w:val="32"/>
          <w:lang w:val="en-US" w:eastAsia="zh-CN"/>
        </w:rPr>
        <w:t>提升</w:t>
      </w:r>
      <w:r>
        <w:rPr>
          <w:rFonts w:hint="eastAsia" w:ascii="仿宋" w:hAnsi="仿宋" w:eastAsia="仿宋" w:cs="仿宋"/>
          <w:sz w:val="32"/>
          <w:szCs w:val="32"/>
          <w:lang w:eastAsia="zh-CN"/>
        </w:rPr>
        <w:t>我校教育</w:t>
      </w:r>
      <w:r>
        <w:rPr>
          <w:rFonts w:hint="eastAsia" w:ascii="仿宋" w:hAnsi="仿宋" w:eastAsia="仿宋" w:cs="仿宋"/>
          <w:sz w:val="32"/>
          <w:szCs w:val="32"/>
          <w:lang w:val="en-US" w:eastAsia="zh-CN"/>
        </w:rPr>
        <w:t>学部</w:t>
      </w:r>
      <w:r>
        <w:rPr>
          <w:rFonts w:hint="eastAsia" w:ascii="仿宋" w:hAnsi="仿宋" w:eastAsia="仿宋" w:cs="仿宋"/>
          <w:sz w:val="32"/>
          <w:szCs w:val="32"/>
          <w:lang w:eastAsia="zh-CN"/>
        </w:rPr>
        <w:t>研究生</w:t>
      </w:r>
      <w:r>
        <w:rPr>
          <w:rFonts w:hint="eastAsia" w:ascii="仿宋" w:hAnsi="仿宋" w:eastAsia="仿宋" w:cs="仿宋"/>
          <w:sz w:val="32"/>
          <w:szCs w:val="32"/>
          <w:lang w:val="en-US" w:eastAsia="zh-CN"/>
        </w:rPr>
        <w:t>学术水平</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促进学术交流，拓展学术视野，营造浓厚的校园学术研究氛围，</w:t>
      </w:r>
      <w:r>
        <w:rPr>
          <w:rFonts w:hint="eastAsia" w:ascii="仿宋" w:hAnsi="仿宋" w:eastAsia="仿宋" w:cs="仿宋"/>
          <w:sz w:val="32"/>
          <w:szCs w:val="32"/>
          <w:lang w:eastAsia="zh-CN"/>
        </w:rPr>
        <w:t>教育学部组织开展了</w:t>
      </w:r>
      <w:r>
        <w:rPr>
          <w:rFonts w:hint="eastAsia" w:ascii="仿宋" w:hAnsi="仿宋" w:eastAsia="仿宋" w:cs="仿宋"/>
          <w:sz w:val="32"/>
          <w:szCs w:val="32"/>
          <w:lang w:val="en-US" w:eastAsia="zh-CN"/>
        </w:rPr>
        <w:t>第三届学术论坛论文</w:t>
      </w:r>
      <w:r>
        <w:rPr>
          <w:rFonts w:hint="eastAsia" w:ascii="仿宋" w:hAnsi="仿宋" w:eastAsia="仿宋" w:cs="仿宋"/>
          <w:sz w:val="32"/>
          <w:szCs w:val="32"/>
          <w:lang w:eastAsia="zh-CN"/>
        </w:rPr>
        <w:t>大赛，共</w:t>
      </w:r>
      <w:r>
        <w:rPr>
          <w:rFonts w:hint="eastAsia" w:ascii="仿宋" w:hAnsi="仿宋" w:eastAsia="仿宋" w:cs="仿宋"/>
          <w:sz w:val="32"/>
          <w:szCs w:val="32"/>
          <w:lang w:val="en-US" w:eastAsia="zh-CN"/>
        </w:rPr>
        <w:t>有38篇论文获奖，获</w:t>
      </w:r>
      <w:r>
        <w:rPr>
          <w:rFonts w:hint="eastAsia" w:ascii="仿宋" w:hAnsi="仿宋" w:eastAsia="仿宋" w:cs="仿宋"/>
          <w:sz w:val="32"/>
          <w:szCs w:val="32"/>
          <w:lang w:eastAsia="zh-CN"/>
        </w:rPr>
        <w:t>一等奖</w:t>
      </w:r>
      <w:r>
        <w:rPr>
          <w:rFonts w:hint="eastAsia" w:ascii="仿宋" w:hAnsi="仿宋" w:eastAsia="仿宋" w:cs="仿宋"/>
          <w:sz w:val="32"/>
          <w:szCs w:val="32"/>
          <w:lang w:val="en-US" w:eastAsia="zh-CN"/>
        </w:rPr>
        <w:t>8人，二等奖11人，三等奖19人。</w:t>
      </w:r>
      <w:r>
        <w:rPr>
          <w:rFonts w:ascii="仿宋" w:hAnsi="仿宋" w:eastAsia="仿宋"/>
          <w:kern w:val="0"/>
          <w:sz w:val="32"/>
          <w:szCs w:val="32"/>
        </w:rPr>
        <w:t>本年度教育</w:t>
      </w:r>
      <w:r>
        <w:rPr>
          <w:rFonts w:hint="eastAsia" w:ascii="仿宋" w:hAnsi="仿宋" w:eastAsia="仿宋"/>
          <w:kern w:val="0"/>
          <w:sz w:val="32"/>
          <w:szCs w:val="32"/>
        </w:rPr>
        <w:t>学部还有7篇硕士研究生毕业论文被评选为</w:t>
      </w:r>
      <w:r>
        <w:rPr>
          <w:rFonts w:ascii="仿宋" w:hAnsi="仿宋" w:eastAsia="仿宋"/>
          <w:kern w:val="0"/>
          <w:sz w:val="32"/>
          <w:szCs w:val="32"/>
        </w:rPr>
        <w:t>校级优秀</w:t>
      </w:r>
      <w:r>
        <w:rPr>
          <w:rFonts w:hint="eastAsia" w:ascii="仿宋" w:hAnsi="仿宋" w:eastAsia="仿宋"/>
          <w:kern w:val="0"/>
          <w:sz w:val="32"/>
          <w:szCs w:val="32"/>
        </w:rPr>
        <w:t>，将参与省级优秀论文评选。</w:t>
      </w:r>
    </w:p>
    <w:p>
      <w:pPr>
        <w:spacing w:line="580" w:lineRule="exact"/>
        <w:ind w:firstLine="643" w:firstLineChars="200"/>
        <w:rPr>
          <w:rStyle w:val="25"/>
          <w:rFonts w:hint="eastAsia" w:ascii="仿宋" w:hAnsi="仿宋" w:eastAsia="仿宋" w:cs="仿宋"/>
          <w:sz w:val="32"/>
          <w:szCs w:val="32"/>
        </w:rPr>
      </w:pPr>
      <w:r>
        <w:rPr>
          <w:rStyle w:val="25"/>
          <w:rFonts w:hint="eastAsia" w:ascii="仿宋" w:hAnsi="仿宋" w:eastAsia="仿宋" w:cs="仿宋"/>
          <w:b/>
          <w:bCs/>
          <w:sz w:val="32"/>
          <w:szCs w:val="32"/>
          <w:lang w:val="en-US"/>
        </w:rPr>
        <w:t>3.</w:t>
      </w:r>
      <w:r>
        <w:rPr>
          <w:rStyle w:val="25"/>
          <w:rFonts w:hint="eastAsia" w:ascii="仿宋" w:hAnsi="仿宋" w:eastAsia="仿宋" w:cs="仿宋"/>
          <w:b/>
          <w:bCs/>
          <w:sz w:val="32"/>
          <w:szCs w:val="32"/>
        </w:rPr>
        <w:t>以“项目研究”为驱动，培养学生实践能力。</w:t>
      </w:r>
      <w:r>
        <w:rPr>
          <w:rStyle w:val="25"/>
          <w:rFonts w:hint="eastAsia" w:ascii="仿宋" w:hAnsi="仿宋" w:eastAsia="仿宋" w:cs="仿宋"/>
          <w:sz w:val="32"/>
          <w:szCs w:val="32"/>
        </w:rPr>
        <w:t>基于“项目学习”的理念——要求学生从事的是问题解决，基于现实世界的探究活动以及其他的一些有意义的工作，并通过制作作品完成自己知识意义的建构，每年面对全校硕士研究生发布创新项目，要求教育硕士基于教育实践问题开展相关研究，切实解决教育实践中问题，实现教研为社会服务的目的。从学校教育硕士立项数量看，教育硕士参与创新项目申报的兴趣不断提升，立项率始终占全校立项项目总数的1/7以上，极大丰富了教育硕士的实践教学方式。</w:t>
      </w:r>
    </w:p>
    <w:p>
      <w:pPr>
        <w:ind w:firstLine="643" w:firstLineChars="200"/>
        <w:rPr>
          <w:rFonts w:hint="eastAsia" w:ascii="仿宋" w:hAnsi="仿宋" w:eastAsia="仿宋" w:cs="仿宋"/>
          <w:kern w:val="0"/>
          <w:sz w:val="32"/>
          <w:szCs w:val="32"/>
        </w:rPr>
      </w:pPr>
      <w:r>
        <w:rPr>
          <w:rStyle w:val="25"/>
          <w:rFonts w:hint="eastAsia" w:ascii="仿宋" w:hAnsi="仿宋" w:eastAsia="仿宋" w:cs="仿宋"/>
          <w:b/>
          <w:bCs/>
          <w:sz w:val="32"/>
          <w:szCs w:val="32"/>
          <w:lang w:val="en-US"/>
        </w:rPr>
        <w:t>4.</w:t>
      </w:r>
      <w:r>
        <w:rPr>
          <w:rFonts w:hint="eastAsia" w:ascii="仿宋" w:hAnsi="仿宋" w:eastAsia="仿宋" w:cs="仿宋"/>
          <w:b/>
          <w:kern w:val="0"/>
          <w:sz w:val="32"/>
          <w:szCs w:val="32"/>
        </w:rPr>
        <w:t>突出校企校融通贯通。</w:t>
      </w:r>
      <w:r>
        <w:rPr>
          <w:rFonts w:hint="eastAsia" w:ascii="仿宋" w:hAnsi="仿宋" w:eastAsia="仿宋" w:cs="仿宋"/>
          <w:kern w:val="0"/>
          <w:sz w:val="32"/>
          <w:szCs w:val="32"/>
        </w:rPr>
        <w:t>根据不同学科、学位（方向）点的培养要求，在建立稳固的教育实践基地的基础上，今年学科将导师引导下的研究生教育实践基地进行了延伸，分别与国家虚拟仿真实训基地、江西建设职业技术学院、江西外语外贸职业学院、新建职业学校等签署战略合作协议，建立博士工作室，由博士定期带领硕士研究生到企业、高职、中职院校进行深度调研、观摩及见习、研习、实习，将“一践行三学会”的教师教育的培养要求落到具体项目进程中。</w:t>
      </w:r>
    </w:p>
    <w:p>
      <w:pPr>
        <w:pStyle w:val="10"/>
        <w:widowControl/>
        <w:spacing w:beforeAutospacing="0" w:afterAutospacing="0" w:line="580" w:lineRule="exact"/>
        <w:ind w:firstLine="643" w:firstLineChars="200"/>
        <w:rPr>
          <w:rStyle w:val="25"/>
          <w:rFonts w:hint="eastAsia" w:ascii="仿宋" w:hAnsi="仿宋" w:eastAsia="仿宋" w:cs="仿宋"/>
          <w:b/>
          <w:sz w:val="32"/>
          <w:szCs w:val="32"/>
        </w:rPr>
      </w:pPr>
      <w:r>
        <w:rPr>
          <w:rStyle w:val="25"/>
          <w:rFonts w:hint="eastAsia" w:ascii="仿宋" w:hAnsi="仿宋" w:eastAsia="仿宋" w:cs="仿宋"/>
          <w:b/>
          <w:sz w:val="32"/>
          <w:szCs w:val="32"/>
        </w:rPr>
        <w:t>（五）学术交流情况</w:t>
      </w:r>
    </w:p>
    <w:p>
      <w:pPr>
        <w:pStyle w:val="10"/>
        <w:widowControl/>
        <w:spacing w:beforeAutospacing="0" w:afterAutospacing="0" w:line="580" w:lineRule="exact"/>
        <w:ind w:firstLine="555"/>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2023年多次举办了高端线下学术论坛，邀请了近30位国内知名专家学者及期刊主编做主旨发言，其中8位长江学者特聘教授；</w:t>
      </w:r>
      <w:r>
        <w:rPr>
          <w:rFonts w:hint="eastAsia" w:ascii="仿宋" w:hAnsi="仿宋" w:eastAsia="仿宋"/>
          <w:color w:val="auto"/>
          <w:kern w:val="0"/>
          <w:sz w:val="32"/>
          <w:szCs w:val="32"/>
          <w:lang w:val="en-US" w:eastAsia="zh-CN"/>
        </w:rPr>
        <w:t>下半年教育学部</w:t>
      </w:r>
      <w:r>
        <w:rPr>
          <w:rFonts w:hint="eastAsia" w:ascii="仿宋" w:hAnsi="仿宋" w:eastAsia="仿宋" w:cs="仿宋"/>
          <w:color w:val="auto"/>
          <w:kern w:val="0"/>
          <w:sz w:val="32"/>
          <w:szCs w:val="32"/>
          <w:lang w:val="en-US" w:eastAsia="zh-CN" w:bidi="ar"/>
        </w:rPr>
        <w:t>举办了第三届研究生学术论坛，论坛共收到教育类研究生学术论文百余篇。同时鼓励师生积极参加国内外重要学术会议，共计10余人次参加各类会议并做主旨发言。</w:t>
      </w:r>
    </w:p>
    <w:p>
      <w:pPr>
        <w:pStyle w:val="10"/>
        <w:widowControl/>
        <w:spacing w:beforeAutospacing="0" w:afterAutospacing="0" w:line="580" w:lineRule="exact"/>
        <w:ind w:firstLine="643" w:firstLineChars="200"/>
        <w:rPr>
          <w:rStyle w:val="25"/>
          <w:rFonts w:hint="eastAsia" w:ascii="仿宋" w:hAnsi="仿宋" w:eastAsia="仿宋" w:cs="仿宋"/>
          <w:b/>
          <w:sz w:val="32"/>
          <w:szCs w:val="32"/>
        </w:rPr>
      </w:pPr>
      <w:r>
        <w:rPr>
          <w:rStyle w:val="25"/>
          <w:rFonts w:hint="eastAsia" w:ascii="仿宋" w:hAnsi="仿宋" w:eastAsia="仿宋" w:cs="仿宋"/>
          <w:b/>
          <w:sz w:val="32"/>
          <w:szCs w:val="32"/>
        </w:rPr>
        <w:t>（六）研究生奖助情况</w:t>
      </w:r>
    </w:p>
    <w:p>
      <w:pPr>
        <w:pStyle w:val="10"/>
        <w:widowControl/>
        <w:spacing w:beforeAutospacing="0" w:afterAutospacing="0" w:line="580" w:lineRule="exact"/>
        <w:ind w:firstLine="555"/>
        <w:rPr>
          <w:rFonts w:hint="eastAsia" w:ascii="仿宋" w:hAnsi="仿宋" w:eastAsia="仿宋" w:cs="仿宋"/>
          <w:color w:val="0000FF"/>
          <w:kern w:val="0"/>
          <w:sz w:val="32"/>
          <w:szCs w:val="32"/>
          <w:lang w:val="en-US" w:eastAsia="zh-CN" w:bidi="ar-SA"/>
        </w:rPr>
      </w:pPr>
      <w:r>
        <w:rPr>
          <w:rFonts w:hint="eastAsia" w:ascii="仿宋" w:hAnsi="仿宋" w:eastAsia="仿宋" w:cs="仿宋"/>
          <w:kern w:val="0"/>
          <w:sz w:val="32"/>
          <w:szCs w:val="32"/>
          <w:lang w:val="en-US" w:eastAsia="zh-CN" w:bidi="ar-SA"/>
        </w:rPr>
        <w:t>为做好教育学部研究生奖学金评选工作，制定了《江西科技师范大学教育学部研究生奖学金评选实施办法（试行）》、《江西科技师范大学教育学部研究生综合素质测评实施细则（试行）》等办法；</w:t>
      </w:r>
      <w:r>
        <w:rPr>
          <w:rFonts w:hint="eastAsia" w:ascii="仿宋" w:hAnsi="仿宋" w:eastAsia="仿宋" w:cs="仿宋"/>
          <w:color w:val="000000"/>
          <w:kern w:val="0"/>
          <w:sz w:val="32"/>
          <w:szCs w:val="32"/>
          <w:lang w:val="en-US" w:eastAsia="zh-CN" w:bidi="ar"/>
        </w:rPr>
        <w:t>在此文件基础上公平公正开展奖学金评审推荐工作，</w:t>
      </w:r>
      <w:r>
        <w:rPr>
          <w:rFonts w:hint="eastAsia" w:ascii="仿宋" w:hAnsi="仿宋" w:eastAsia="仿宋" w:cs="仿宋"/>
          <w:color w:val="auto"/>
          <w:kern w:val="0"/>
          <w:sz w:val="32"/>
          <w:szCs w:val="32"/>
          <w:lang w:val="en-US" w:eastAsia="zh-CN" w:bidi="ar"/>
        </w:rPr>
        <w:t>2023年教育学硕士研究生3人获国家奖学金,51 人获江西省学业奖学金；53人获校学业奖学金。奖学金覆盖率基本达到100%。</w:t>
      </w:r>
    </w:p>
    <w:p>
      <w:pPr>
        <w:widowControl/>
        <w:spacing w:line="580" w:lineRule="exact"/>
        <w:ind w:firstLine="643" w:firstLineChars="200"/>
        <w:textAlignment w:val="baseline"/>
        <w:rPr>
          <w:rStyle w:val="25"/>
          <w:rFonts w:hint="eastAsia" w:ascii="黑体" w:hAnsi="黑体" w:eastAsia="黑体" w:cs="黑体"/>
          <w:b/>
          <w:sz w:val="32"/>
          <w:szCs w:val="32"/>
        </w:rPr>
      </w:pPr>
      <w:r>
        <w:rPr>
          <w:rStyle w:val="25"/>
          <w:rFonts w:hint="eastAsia" w:ascii="黑体" w:hAnsi="黑体" w:eastAsia="黑体" w:cs="黑体"/>
          <w:b/>
          <w:sz w:val="32"/>
          <w:szCs w:val="32"/>
        </w:rPr>
        <w:t>四、研究生教育改革情况</w:t>
      </w:r>
    </w:p>
    <w:p>
      <w:pPr>
        <w:ind w:firstLine="643" w:firstLineChars="200"/>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eastAsia="zh-CN"/>
        </w:rPr>
        <w:t>（一）人才培养</w:t>
      </w:r>
    </w:p>
    <w:p>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基于“素质全面、基础扎实、技能娴熟，能够胜任理论和实践一体化教学”的高素质、高层次“双师型”教师的培养特色，学科突出坚持“一个目标”（面向中等职业学校培养高素质、高层次“双师型”教师）、建设“两个基地”（中职教学实践基地、企业实践基地）、确立“三个导师”（学校专职导师、中职兼职导师、企业兼职导师）、强化“四个特性”（师范性、专业性、职业性、学术性）为基本思路，重点推进硕士研究生教育内涵建设。</w:t>
      </w:r>
    </w:p>
    <w:p>
      <w:pPr>
        <w:pStyle w:val="10"/>
        <w:widowControl/>
        <w:spacing w:beforeAutospacing="0" w:afterAutospacing="0" w:line="580" w:lineRule="exact"/>
        <w:ind w:firstLine="643" w:firstLineChars="200"/>
        <w:rPr>
          <w:rStyle w:val="25"/>
          <w:rFonts w:hint="eastAsia" w:ascii="仿宋" w:hAnsi="仿宋" w:eastAsia="仿宋" w:cs="仿宋"/>
          <w:b/>
          <w:sz w:val="32"/>
          <w:szCs w:val="32"/>
        </w:rPr>
      </w:pPr>
      <w:r>
        <w:rPr>
          <w:rStyle w:val="25"/>
          <w:rFonts w:hint="eastAsia" w:ascii="仿宋" w:hAnsi="仿宋" w:eastAsia="仿宋" w:cs="仿宋"/>
          <w:b/>
          <w:sz w:val="32"/>
          <w:szCs w:val="32"/>
        </w:rPr>
        <w:t>（二）教师队伍建设</w:t>
      </w:r>
    </w:p>
    <w:p>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在实施优秀团队培育计划，以学术核心领军人物为重点，继续采取“顶尖专家+团队”的“柔性+刚性”引进方式，有效扩大高层次人才团队数量的基础上，基于</w:t>
      </w:r>
      <w:r>
        <w:rPr>
          <w:rFonts w:hint="eastAsia" w:ascii="仿宋" w:hAnsi="仿宋" w:eastAsia="仿宋" w:cs="仿宋"/>
          <w:kern w:val="0"/>
          <w:sz w:val="32"/>
          <w:szCs w:val="32"/>
          <w:lang w:eastAsia="zh-CN"/>
        </w:rPr>
        <w:t>学位授权点</w:t>
      </w:r>
      <w:r>
        <w:rPr>
          <w:rFonts w:hint="eastAsia" w:ascii="仿宋" w:hAnsi="仿宋" w:eastAsia="仿宋" w:cs="仿宋"/>
          <w:kern w:val="0"/>
          <w:sz w:val="32"/>
          <w:szCs w:val="32"/>
        </w:rPr>
        <w:t>建设的需要，</w:t>
      </w:r>
      <w:r>
        <w:rPr>
          <w:rFonts w:hint="eastAsia" w:ascii="仿宋" w:hAnsi="仿宋" w:eastAsia="仿宋" w:cs="仿宋"/>
          <w:kern w:val="0"/>
          <w:sz w:val="32"/>
          <w:szCs w:val="32"/>
          <w:lang w:val="en-US" w:eastAsia="zh-CN"/>
        </w:rPr>
        <w:t>重点</w:t>
      </w:r>
      <w:r>
        <w:rPr>
          <w:rFonts w:hint="eastAsia" w:ascii="仿宋" w:hAnsi="仿宋" w:eastAsia="仿宋" w:cs="仿宋"/>
          <w:kern w:val="0"/>
          <w:sz w:val="32"/>
          <w:szCs w:val="32"/>
        </w:rPr>
        <w:t>从学科点高层次人才梯队建设状况出发，</w:t>
      </w:r>
      <w:r>
        <w:rPr>
          <w:rFonts w:hint="eastAsia" w:ascii="仿宋" w:hAnsi="仿宋" w:eastAsia="仿宋" w:cs="仿宋"/>
          <w:kern w:val="0"/>
          <w:sz w:val="32"/>
          <w:szCs w:val="32"/>
          <w:lang w:val="en-US" w:eastAsia="zh-CN"/>
        </w:rPr>
        <w:t>加大</w:t>
      </w:r>
      <w:r>
        <w:rPr>
          <w:rFonts w:hint="eastAsia" w:ascii="仿宋" w:hAnsi="仿宋" w:eastAsia="仿宋" w:cs="仿宋"/>
          <w:kern w:val="0"/>
          <w:sz w:val="32"/>
          <w:szCs w:val="32"/>
        </w:rPr>
        <w:t>引进博士</w:t>
      </w:r>
      <w:r>
        <w:rPr>
          <w:rFonts w:hint="eastAsia" w:ascii="仿宋" w:hAnsi="仿宋" w:eastAsia="仿宋" w:cs="仿宋"/>
          <w:kern w:val="0"/>
          <w:sz w:val="32"/>
          <w:szCs w:val="32"/>
          <w:lang w:val="en-US" w:eastAsia="zh-CN"/>
        </w:rPr>
        <w:t>培育力度</w:t>
      </w:r>
      <w:r>
        <w:rPr>
          <w:rFonts w:hint="eastAsia" w:ascii="仿宋" w:hAnsi="仿宋" w:eastAsia="仿宋" w:cs="仿宋"/>
          <w:kern w:val="0"/>
          <w:sz w:val="32"/>
          <w:szCs w:val="32"/>
        </w:rPr>
        <w:t>。主要举措为：</w:t>
      </w:r>
    </w:p>
    <w:p>
      <w:pPr>
        <w:ind w:firstLine="643" w:firstLineChars="200"/>
        <w:rPr>
          <w:rFonts w:hint="eastAsia" w:ascii="仿宋" w:hAnsi="仿宋" w:eastAsia="仿宋" w:cs="仿宋"/>
          <w:kern w:val="0"/>
          <w:sz w:val="32"/>
          <w:szCs w:val="32"/>
        </w:rPr>
      </w:pPr>
      <w:r>
        <w:rPr>
          <w:rFonts w:hint="eastAsia" w:ascii="仿宋" w:hAnsi="仿宋" w:eastAsia="仿宋" w:cs="仿宋"/>
          <w:b/>
          <w:kern w:val="0"/>
          <w:sz w:val="32"/>
          <w:szCs w:val="32"/>
        </w:rPr>
        <w:t>一树好引才导向。</w:t>
      </w:r>
      <w:r>
        <w:rPr>
          <w:rFonts w:hint="eastAsia" w:ascii="仿宋" w:hAnsi="仿宋" w:eastAsia="仿宋" w:cs="仿宋"/>
          <w:kern w:val="0"/>
          <w:sz w:val="32"/>
          <w:szCs w:val="32"/>
        </w:rPr>
        <w:t>以发展潜质作为选才第一要素，正确处理质量与数量的关系，正确处理已有成果与预期成果的关系，改变只要博士就引的应急式、任务式惯性思维，着眼以未来的学科方向带头人的标准来选才。</w:t>
      </w:r>
    </w:p>
    <w:p>
      <w:pPr>
        <w:ind w:firstLine="643" w:firstLineChars="200"/>
        <w:rPr>
          <w:rFonts w:hint="eastAsia" w:ascii="仿宋" w:hAnsi="仿宋" w:eastAsia="仿宋" w:cs="仿宋"/>
          <w:kern w:val="0"/>
          <w:sz w:val="32"/>
          <w:szCs w:val="32"/>
        </w:rPr>
      </w:pPr>
      <w:r>
        <w:rPr>
          <w:rFonts w:hint="eastAsia" w:ascii="仿宋" w:hAnsi="仿宋" w:eastAsia="仿宋" w:cs="仿宋"/>
          <w:b/>
          <w:kern w:val="0"/>
          <w:sz w:val="32"/>
          <w:szCs w:val="32"/>
        </w:rPr>
        <w:t>二是立好用才规矩。</w:t>
      </w:r>
      <w:r>
        <w:rPr>
          <w:rFonts w:hint="eastAsia" w:ascii="仿宋" w:hAnsi="仿宋" w:eastAsia="仿宋" w:cs="仿宋"/>
          <w:kern w:val="0"/>
          <w:sz w:val="32"/>
          <w:szCs w:val="32"/>
        </w:rPr>
        <w:t>依据学科评估标准、博士点标准来考量和确定引进博士的协议清单和任务清单，体现管理与培育的契约精神，达成个人与单位共同成就的最大公约数。</w:t>
      </w:r>
    </w:p>
    <w:p>
      <w:pPr>
        <w:widowControl/>
        <w:ind w:firstLine="643" w:firstLineChars="200"/>
        <w:jc w:val="left"/>
        <w:rPr>
          <w:rFonts w:hint="eastAsia" w:ascii="仿宋" w:hAnsi="仿宋" w:eastAsia="仿宋" w:cs="仿宋"/>
          <w:kern w:val="0"/>
          <w:sz w:val="32"/>
          <w:szCs w:val="32"/>
        </w:rPr>
      </w:pPr>
      <w:r>
        <w:rPr>
          <w:rFonts w:hint="eastAsia" w:ascii="仿宋" w:hAnsi="仿宋" w:eastAsia="仿宋" w:cs="仿宋"/>
          <w:b/>
          <w:kern w:val="0"/>
          <w:sz w:val="32"/>
          <w:szCs w:val="32"/>
        </w:rPr>
        <w:t>三是做好人才服务。</w:t>
      </w:r>
      <w:r>
        <w:rPr>
          <w:rFonts w:hint="eastAsia" w:ascii="仿宋" w:hAnsi="仿宋" w:eastAsia="仿宋" w:cs="仿宋"/>
          <w:kern w:val="0"/>
          <w:sz w:val="32"/>
          <w:szCs w:val="32"/>
        </w:rPr>
        <w:t>在人事部门制度规则前提下，做到多回合沟通、面对面协商、一人一策关注人才最大关切，将感情引才落实神经末梢。</w:t>
      </w:r>
    </w:p>
    <w:p>
      <w:pPr>
        <w:pStyle w:val="10"/>
        <w:widowControl/>
        <w:spacing w:beforeAutospacing="0" w:afterAutospacing="0" w:line="580" w:lineRule="exact"/>
        <w:ind w:firstLine="643" w:firstLineChars="200"/>
        <w:rPr>
          <w:rStyle w:val="25"/>
          <w:rFonts w:hint="eastAsia" w:ascii="仿宋" w:hAnsi="仿宋" w:eastAsia="仿宋" w:cs="仿宋"/>
          <w:b/>
          <w:sz w:val="32"/>
          <w:szCs w:val="32"/>
        </w:rPr>
      </w:pPr>
      <w:r>
        <w:rPr>
          <w:rStyle w:val="25"/>
          <w:rFonts w:hint="eastAsia" w:ascii="仿宋" w:hAnsi="仿宋" w:eastAsia="仿宋" w:cs="仿宋"/>
          <w:b/>
          <w:sz w:val="32"/>
          <w:szCs w:val="32"/>
        </w:rPr>
        <w:t>（三）科学研究</w:t>
      </w:r>
    </w:p>
    <w:p>
      <w:pPr>
        <w:spacing w:line="580" w:lineRule="exact"/>
        <w:ind w:firstLine="640" w:firstLineChars="200"/>
        <w:rPr>
          <w:rFonts w:hint="eastAsia" w:ascii="仿宋" w:hAnsi="仿宋" w:eastAsia="仿宋" w:cs="仿宋"/>
          <w:color w:val="auto"/>
          <w:kern w:val="0"/>
          <w:sz w:val="32"/>
          <w:szCs w:val="32"/>
        </w:rPr>
      </w:pPr>
      <w:r>
        <w:rPr>
          <w:rFonts w:hint="eastAsia" w:ascii="仿宋" w:hAnsi="仿宋" w:eastAsia="仿宋"/>
          <w:kern w:val="0"/>
          <w:sz w:val="32"/>
          <w:szCs w:val="32"/>
        </w:rPr>
        <w:t>2023年度学科获国家社科基金项目2项、全国自然科学基金2项、教育部人文社科课题1项，江西省教育科学规划项目10项、省社科基金项目3项；获省社科优秀成果奖</w:t>
      </w:r>
      <w:r>
        <w:rPr>
          <w:rFonts w:ascii="仿宋" w:hAnsi="仿宋" w:eastAsia="仿宋"/>
          <w:kern w:val="0"/>
          <w:sz w:val="32"/>
          <w:szCs w:val="32"/>
        </w:rPr>
        <w:t>7</w:t>
      </w:r>
      <w:r>
        <w:rPr>
          <w:rFonts w:hint="eastAsia" w:ascii="仿宋" w:hAnsi="仿宋" w:eastAsia="仿宋"/>
          <w:kern w:val="0"/>
          <w:sz w:val="32"/>
          <w:szCs w:val="32"/>
        </w:rPr>
        <w:t>项，其中一等奖1项，二等奖2项；三等奖3项；</w:t>
      </w:r>
      <w:r>
        <w:rPr>
          <w:rFonts w:hint="eastAsia" w:ascii="仿宋" w:hAnsi="仿宋" w:eastAsia="仿宋"/>
          <w:kern w:val="0"/>
          <w:sz w:val="32"/>
          <w:szCs w:val="32"/>
          <w:lang w:eastAsia="zh-CN"/>
        </w:rPr>
        <w:t>荣获第八届黄炎培职业教育奖；</w:t>
      </w:r>
      <w:r>
        <w:rPr>
          <w:rFonts w:hint="eastAsia" w:ascii="仿宋" w:hAnsi="仿宋" w:eastAsia="仿宋"/>
          <w:color w:val="auto"/>
          <w:kern w:val="0"/>
          <w:sz w:val="32"/>
          <w:szCs w:val="32"/>
        </w:rPr>
        <w:t>获得2门国家级一流本科课程</w:t>
      </w:r>
      <w:r>
        <w:rPr>
          <w:rFonts w:hint="eastAsia" w:ascii="仿宋" w:hAnsi="仿宋" w:eastAsia="仿宋"/>
          <w:kern w:val="0"/>
          <w:sz w:val="32"/>
          <w:szCs w:val="32"/>
          <w:lang w:val="en-US" w:eastAsia="zh-CN"/>
        </w:rPr>
        <w:t>；</w:t>
      </w:r>
      <w:r>
        <w:rPr>
          <w:rFonts w:hint="eastAsia" w:ascii="仿宋" w:hAnsi="仿宋" w:eastAsia="仿宋"/>
          <w:kern w:val="0"/>
          <w:sz w:val="32"/>
          <w:szCs w:val="32"/>
          <w:lang w:eastAsia="zh-CN"/>
        </w:rPr>
        <w:t>发表</w:t>
      </w:r>
      <w:r>
        <w:rPr>
          <w:rFonts w:hint="eastAsia" w:ascii="仿宋" w:hAnsi="仿宋" w:eastAsia="仿宋" w:cs="Times New Roman"/>
          <w:kern w:val="0"/>
          <w:sz w:val="32"/>
          <w:szCs w:val="32"/>
          <w:lang w:val="en-US" w:eastAsia="zh-CN"/>
        </w:rPr>
        <w:t>Nature子刊1篇；</w:t>
      </w:r>
      <w:r>
        <w:rPr>
          <w:rFonts w:hint="eastAsia" w:ascii="仿宋" w:hAnsi="仿宋" w:eastAsia="仿宋"/>
          <w:kern w:val="0"/>
          <w:sz w:val="32"/>
          <w:szCs w:val="32"/>
        </w:rPr>
        <w:t>已发表教育类高水平教育类论文2</w:t>
      </w:r>
      <w:r>
        <w:rPr>
          <w:rFonts w:hint="eastAsia" w:ascii="仿宋" w:hAnsi="仿宋" w:eastAsia="仿宋"/>
          <w:kern w:val="0"/>
          <w:sz w:val="32"/>
          <w:szCs w:val="32"/>
          <w:lang w:val="en-US" w:eastAsia="zh-CN"/>
        </w:rPr>
        <w:t>5</w:t>
      </w:r>
      <w:r>
        <w:rPr>
          <w:rFonts w:hint="eastAsia" w:ascii="仿宋" w:hAnsi="仿宋" w:eastAsia="仿宋"/>
          <w:kern w:val="0"/>
          <w:sz w:val="32"/>
          <w:szCs w:val="32"/>
        </w:rPr>
        <w:t>篇，其中SSCI论文</w:t>
      </w:r>
      <w:r>
        <w:rPr>
          <w:rFonts w:hint="eastAsia" w:ascii="仿宋" w:hAnsi="仿宋" w:eastAsia="仿宋"/>
          <w:kern w:val="0"/>
          <w:sz w:val="32"/>
          <w:szCs w:val="32"/>
          <w:lang w:val="en-US" w:eastAsia="zh-CN"/>
        </w:rPr>
        <w:t>3</w:t>
      </w:r>
      <w:r>
        <w:rPr>
          <w:rFonts w:hint="eastAsia" w:ascii="仿宋" w:hAnsi="仿宋" w:eastAsia="仿宋"/>
          <w:kern w:val="0"/>
          <w:sz w:val="32"/>
          <w:szCs w:val="32"/>
        </w:rPr>
        <w:t>篇，CSSCI论文10篇，中文核心12篇，《新华文摘》转载1篇，</w:t>
      </w:r>
      <w:r>
        <w:rPr>
          <w:rFonts w:ascii="仿宋" w:hAnsi="仿宋" w:eastAsia="仿宋"/>
          <w:kern w:val="0"/>
          <w:sz w:val="32"/>
          <w:szCs w:val="32"/>
        </w:rPr>
        <w:t>部分论文在陆续发</w:t>
      </w:r>
      <w:r>
        <w:rPr>
          <w:rFonts w:hint="eastAsia" w:ascii="仿宋" w:hAnsi="仿宋" w:eastAsia="仿宋"/>
          <w:kern w:val="0"/>
          <w:sz w:val="32"/>
          <w:szCs w:val="32"/>
        </w:rPr>
        <w:t>表</w:t>
      </w:r>
      <w:r>
        <w:rPr>
          <w:rFonts w:hint="eastAsia" w:ascii="仿宋" w:hAnsi="仿宋" w:eastAsia="仿宋"/>
          <w:color w:val="auto"/>
          <w:kern w:val="0"/>
          <w:sz w:val="32"/>
          <w:szCs w:val="32"/>
        </w:rPr>
        <w:t>。</w:t>
      </w:r>
      <w:r>
        <w:rPr>
          <w:rFonts w:hint="eastAsia" w:ascii="仿宋" w:hAnsi="仿宋" w:eastAsia="仿宋" w:cs="仿宋"/>
          <w:color w:val="auto"/>
          <w:kern w:val="0"/>
          <w:sz w:val="32"/>
          <w:szCs w:val="32"/>
        </w:rPr>
        <w:t>举行了“教育部职业教育学课程虚拟教研室建设”启动会。同时鼓励师生积极参加国内外重要学术会议，共计10余人次在全国性各类会议并做主旨发言；选送1名博士在厦门大学博士后流动站。</w:t>
      </w:r>
      <w:r>
        <w:rPr>
          <w:rFonts w:hint="eastAsia" w:ascii="仿宋" w:hAnsi="仿宋" w:eastAsia="仿宋" w:cs="仿宋"/>
          <w:color w:val="auto"/>
          <w:kern w:val="0"/>
          <w:sz w:val="32"/>
          <w:szCs w:val="32"/>
          <w:lang w:val="en-US" w:eastAsia="zh-CN"/>
        </w:rPr>
        <w:t>2023年有3篇</w:t>
      </w:r>
      <w:r>
        <w:rPr>
          <w:rFonts w:hint="eastAsia" w:ascii="仿宋" w:hAnsi="仿宋" w:eastAsia="仿宋" w:cs="仿宋"/>
          <w:color w:val="auto"/>
          <w:kern w:val="0"/>
          <w:sz w:val="32"/>
          <w:szCs w:val="32"/>
        </w:rPr>
        <w:t>教学案例</w:t>
      </w:r>
      <w:r>
        <w:rPr>
          <w:rFonts w:hint="eastAsia" w:ascii="仿宋" w:hAnsi="仿宋" w:eastAsia="仿宋" w:cs="仿宋"/>
          <w:color w:val="auto"/>
          <w:kern w:val="0"/>
          <w:sz w:val="32"/>
          <w:szCs w:val="32"/>
          <w:lang w:eastAsia="zh-CN"/>
        </w:rPr>
        <w:t>已</w:t>
      </w:r>
      <w:r>
        <w:rPr>
          <w:rFonts w:hint="eastAsia" w:ascii="仿宋" w:hAnsi="仿宋" w:eastAsia="仿宋" w:cs="仿宋"/>
          <w:color w:val="auto"/>
          <w:kern w:val="0"/>
          <w:sz w:val="32"/>
          <w:szCs w:val="32"/>
        </w:rPr>
        <w:t>入库中国专业学位教学案例中心案例库。</w:t>
      </w:r>
    </w:p>
    <w:p>
      <w:pPr>
        <w:pStyle w:val="10"/>
        <w:widowControl/>
        <w:spacing w:beforeAutospacing="0" w:afterAutospacing="0" w:line="580" w:lineRule="exact"/>
        <w:ind w:firstLine="643" w:firstLineChars="200"/>
        <w:rPr>
          <w:rStyle w:val="25"/>
          <w:rFonts w:hint="eastAsia" w:ascii="仿宋" w:hAnsi="仿宋" w:eastAsia="仿宋" w:cs="仿宋"/>
          <w:b/>
          <w:sz w:val="32"/>
          <w:szCs w:val="32"/>
        </w:rPr>
      </w:pPr>
      <w:r>
        <w:rPr>
          <w:rStyle w:val="25"/>
          <w:rFonts w:hint="eastAsia" w:ascii="仿宋" w:hAnsi="仿宋" w:eastAsia="仿宋" w:cs="仿宋"/>
          <w:b/>
          <w:sz w:val="32"/>
          <w:szCs w:val="32"/>
        </w:rPr>
        <w:t>（四）传承创新优秀文化</w:t>
      </w:r>
    </w:p>
    <w:p>
      <w:pPr>
        <w:adjustRightInd w:val="0"/>
        <w:snapToGrid w:val="0"/>
        <w:spacing w:line="58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学</w:t>
      </w:r>
      <w:r>
        <w:rPr>
          <w:rFonts w:hint="eastAsia" w:ascii="仿宋" w:hAnsi="仿宋" w:eastAsia="仿宋" w:cs="仿宋"/>
          <w:sz w:val="32"/>
          <w:szCs w:val="32"/>
          <w:lang w:val="en-US" w:eastAsia="zh-CN"/>
        </w:rPr>
        <w:t>科</w:t>
      </w:r>
      <w:r>
        <w:rPr>
          <w:rFonts w:hint="eastAsia" w:ascii="仿宋" w:hAnsi="仿宋" w:eastAsia="仿宋" w:cs="仿宋"/>
          <w:sz w:val="32"/>
          <w:szCs w:val="32"/>
        </w:rPr>
        <w:t>不断优化凸显教师教育优势，</w:t>
      </w:r>
      <w:r>
        <w:rPr>
          <w:rFonts w:hint="eastAsia" w:ascii="仿宋" w:hAnsi="仿宋" w:eastAsia="仿宋" w:cs="仿宋"/>
          <w:sz w:val="32"/>
          <w:szCs w:val="32"/>
          <w:lang w:val="en-US" w:eastAsia="zh-CN"/>
        </w:rPr>
        <w:t>在省级“三全育人”试点学院的建设进程中</w:t>
      </w:r>
      <w:r>
        <w:rPr>
          <w:rFonts w:hint="eastAsia" w:ascii="仿宋" w:hAnsi="仿宋" w:eastAsia="仿宋" w:cs="仿宋"/>
          <w:sz w:val="32"/>
          <w:szCs w:val="32"/>
        </w:rPr>
        <w:t>传承红色基因。将红色文化资源全面融入“三全育人”教育体系，突出中国共产党建军精神育人功能，以全国信息化赋能红色文化资源传播项目、中部地区和革命老区职业教育红色文化课程研究中心建设来实践“工匠精神+传统文化+红色文化”全新育人模式。</w:t>
      </w:r>
    </w:p>
    <w:p>
      <w:pPr>
        <w:pStyle w:val="10"/>
        <w:widowControl/>
        <w:spacing w:beforeAutospacing="0" w:afterAutospacing="0" w:line="580" w:lineRule="exact"/>
        <w:ind w:firstLine="643" w:firstLineChars="200"/>
        <w:rPr>
          <w:rStyle w:val="25"/>
          <w:rFonts w:hint="eastAsia" w:ascii="仿宋" w:hAnsi="仿宋" w:eastAsia="仿宋" w:cs="仿宋"/>
          <w:b/>
          <w:sz w:val="32"/>
          <w:szCs w:val="32"/>
        </w:rPr>
      </w:pPr>
      <w:r>
        <w:rPr>
          <w:rStyle w:val="25"/>
          <w:rFonts w:hint="eastAsia" w:ascii="仿宋" w:hAnsi="仿宋" w:eastAsia="仿宋" w:cs="仿宋"/>
          <w:b/>
          <w:sz w:val="32"/>
          <w:szCs w:val="32"/>
        </w:rPr>
        <w:t>（五）国际合作交流等方面的改革创新情况</w:t>
      </w:r>
    </w:p>
    <w:p>
      <w:pPr>
        <w:spacing w:line="580" w:lineRule="exact"/>
        <w:ind w:firstLine="640" w:firstLineChars="200"/>
        <w:rPr>
          <w:rStyle w:val="25"/>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kern w:val="0"/>
          <w:sz w:val="32"/>
          <w:szCs w:val="32"/>
          <w:lang w:val="en-US" w:eastAsia="zh-CN"/>
        </w:rPr>
        <w:t>2023年，</w:t>
      </w:r>
      <w:r>
        <w:rPr>
          <w:rFonts w:hint="eastAsia" w:ascii="仿宋" w:hAnsi="仿宋" w:eastAsia="仿宋"/>
          <w:kern w:val="0"/>
          <w:sz w:val="32"/>
          <w:szCs w:val="32"/>
        </w:rPr>
        <w:t>教育学部联办了由商务部主办、江西省商务厅承办的“发展中国家职业教育官员研修班”，共有来自柬埔寨、老挝、尼泊尔、印度尼西亚、吉布提、莱索托、毛里求斯、南非、南苏丹、尼日利亚、巴拿马、古巴和苏里南等13个国家的37名学员参加。研修班结束后，收到南苏丹教育部技术和职业教育培训处和尼泊尔教育科技部发来的感谢信。肖称萍（老师）、李会荣（研究生）在“2</w:t>
      </w:r>
      <w:r>
        <w:rPr>
          <w:rFonts w:ascii="仿宋" w:hAnsi="仿宋" w:eastAsia="仿宋"/>
          <w:kern w:val="0"/>
          <w:sz w:val="32"/>
          <w:szCs w:val="32"/>
        </w:rPr>
        <w:t>023</w:t>
      </w:r>
      <w:r>
        <w:rPr>
          <w:rFonts w:hint="eastAsia" w:ascii="仿宋" w:hAnsi="仿宋" w:eastAsia="仿宋"/>
          <w:kern w:val="0"/>
          <w:sz w:val="32"/>
          <w:szCs w:val="32"/>
        </w:rPr>
        <w:t>中国-东盟职业教育发展论坛”做主题发言，袁舟（研究生）在“数字时代的教育：机遇与挑战国际会议”做主题发言。同时，教育学科正积极与白俄罗斯莫吉廖夫大学、澳门城市大学探索教育博士联合培养的工作。</w:t>
      </w:r>
      <w:r>
        <w:rPr>
          <w:rFonts w:hint="eastAsia" w:ascii="仿宋" w:hAnsi="仿宋" w:eastAsia="仿宋" w:cs="仿宋"/>
          <w:color w:val="000000" w:themeColor="text1"/>
          <w:kern w:val="0"/>
          <w:sz w:val="32"/>
          <w:szCs w:val="32"/>
          <w14:textFill>
            <w14:solidFill>
              <w14:schemeClr w14:val="tx1"/>
            </w14:solidFill>
          </w14:textFill>
        </w:rPr>
        <w:t>今年</w:t>
      </w:r>
      <w:r>
        <w:rPr>
          <w:rFonts w:hint="eastAsia" w:ascii="仿宋" w:hAnsi="仿宋" w:eastAsia="仿宋" w:cs="仿宋"/>
          <w:color w:val="000000" w:themeColor="text1"/>
          <w:kern w:val="0"/>
          <w:sz w:val="32"/>
          <w:szCs w:val="32"/>
          <w:lang w:eastAsia="zh-CN"/>
          <w14:textFill>
            <w14:solidFill>
              <w14:schemeClr w14:val="tx1"/>
            </w14:solidFill>
          </w14:textFill>
        </w:rPr>
        <w:t>近</w:t>
      </w:r>
      <w:r>
        <w:rPr>
          <w:rFonts w:hint="eastAsia" w:ascii="仿宋" w:hAnsi="仿宋" w:eastAsia="仿宋" w:cs="仿宋"/>
          <w:color w:val="000000" w:themeColor="text1"/>
          <w:kern w:val="0"/>
          <w:sz w:val="32"/>
          <w:szCs w:val="32"/>
          <w:lang w:val="en-US" w:eastAsia="zh-CN"/>
          <w14:textFill>
            <w14:solidFill>
              <w14:schemeClr w14:val="tx1"/>
            </w14:solidFill>
          </w14:textFill>
        </w:rPr>
        <w:t>200</w:t>
      </w:r>
      <w:r>
        <w:rPr>
          <w:rFonts w:hint="eastAsia" w:ascii="仿宋" w:hAnsi="仿宋" w:eastAsia="仿宋" w:cs="仿宋"/>
          <w:color w:val="000000" w:themeColor="text1"/>
          <w:kern w:val="0"/>
          <w:sz w:val="32"/>
          <w:szCs w:val="32"/>
          <w14:textFill>
            <w14:solidFill>
              <w14:schemeClr w14:val="tx1"/>
            </w14:solidFill>
          </w14:textFill>
        </w:rPr>
        <w:t>名现代教育技术专业学位点参加师生世界VR产业大会。</w:t>
      </w:r>
      <w:r>
        <w:rPr>
          <w:rFonts w:hint="eastAsia" w:ascii="仿宋" w:hAnsi="仿宋" w:eastAsia="仿宋" w:cs="仿宋"/>
          <w:color w:val="000000" w:themeColor="text1"/>
          <w:kern w:val="0"/>
          <w:sz w:val="32"/>
          <w:szCs w:val="32"/>
          <w:lang w:val="en-US" w:eastAsia="zh-CN"/>
          <w14:textFill>
            <w14:solidFill>
              <w14:schemeClr w14:val="tx1"/>
            </w14:solidFill>
          </w14:textFill>
        </w:rPr>
        <w:t>此外，还</w:t>
      </w:r>
      <w:r>
        <w:rPr>
          <w:rFonts w:hint="eastAsia" w:ascii="仿宋" w:hAnsi="仿宋" w:eastAsia="仿宋" w:cs="仿宋"/>
          <w:color w:val="000000" w:themeColor="text1"/>
          <w:sz w:val="32"/>
          <w:szCs w:val="32"/>
          <w14:textFill>
            <w14:solidFill>
              <w14:schemeClr w14:val="tx1"/>
            </w14:solidFill>
          </w14:textFill>
        </w:rPr>
        <w:t>与江西外语外贸职业学院合作举办了对外援助培训项目。</w:t>
      </w:r>
      <w:r>
        <w:rPr>
          <w:rStyle w:val="25"/>
          <w:rFonts w:hint="eastAsia" w:ascii="仿宋" w:hAnsi="仿宋" w:eastAsia="仿宋" w:cs="仿宋"/>
          <w:color w:val="000000" w:themeColor="text1"/>
          <w:sz w:val="32"/>
          <w:szCs w:val="32"/>
          <w14:textFill>
            <w14:solidFill>
              <w14:schemeClr w14:val="tx1"/>
            </w14:solidFill>
          </w14:textFill>
        </w:rPr>
        <w:t xml:space="preserve">              </w:t>
      </w:r>
    </w:p>
    <w:p>
      <w:pPr>
        <w:widowControl/>
        <w:snapToGrid w:val="0"/>
        <w:spacing w:line="580" w:lineRule="exact"/>
        <w:ind w:firstLine="643" w:firstLineChars="200"/>
        <w:textAlignment w:val="baseline"/>
        <w:rPr>
          <w:rStyle w:val="25"/>
          <w:rFonts w:hint="eastAsia" w:ascii="黑体" w:hAnsi="黑体" w:eastAsia="黑体" w:cs="黑体"/>
          <w:b/>
          <w:color w:val="000000" w:themeColor="text1"/>
          <w:sz w:val="32"/>
          <w:szCs w:val="32"/>
          <w14:textFill>
            <w14:solidFill>
              <w14:schemeClr w14:val="tx1"/>
            </w14:solidFill>
          </w14:textFill>
        </w:rPr>
      </w:pPr>
      <w:r>
        <w:rPr>
          <w:rStyle w:val="25"/>
          <w:rFonts w:hint="eastAsia" w:ascii="黑体" w:hAnsi="黑体" w:eastAsia="黑体" w:cs="黑体"/>
          <w:b/>
          <w:color w:val="000000" w:themeColor="text1"/>
          <w:sz w:val="32"/>
          <w:szCs w:val="32"/>
          <w14:textFill>
            <w14:solidFill>
              <w14:schemeClr w14:val="tx1"/>
            </w14:solidFill>
          </w14:textFill>
        </w:rPr>
        <w:t>五、教育质量评估与分析</w:t>
      </w:r>
    </w:p>
    <w:p>
      <w:pPr>
        <w:spacing w:line="580" w:lineRule="exact"/>
        <w:ind w:firstLine="643" w:firstLineChars="200"/>
        <w:rPr>
          <w:rStyle w:val="25"/>
          <w:rFonts w:hint="eastAsia" w:ascii="仿宋" w:hAnsi="仿宋" w:eastAsia="仿宋" w:cs="仿宋"/>
          <w:b/>
          <w:sz w:val="32"/>
          <w:szCs w:val="32"/>
        </w:rPr>
      </w:pPr>
      <w:r>
        <w:rPr>
          <w:rStyle w:val="25"/>
          <w:rFonts w:hint="eastAsia" w:ascii="仿宋" w:hAnsi="仿宋" w:eastAsia="仿宋" w:cs="仿宋"/>
          <w:b/>
          <w:sz w:val="32"/>
          <w:szCs w:val="32"/>
        </w:rPr>
        <w:t>（一）评估进展分析</w:t>
      </w:r>
    </w:p>
    <w:p>
      <w:pPr>
        <w:spacing w:line="580" w:lineRule="exact"/>
        <w:ind w:firstLine="640" w:firstLineChars="200"/>
        <w:rPr>
          <w:rStyle w:val="25"/>
          <w:rFonts w:hint="eastAsia" w:ascii="仿宋" w:hAnsi="仿宋" w:eastAsia="仿宋" w:cs="仿宋"/>
          <w:sz w:val="32"/>
          <w:szCs w:val="32"/>
        </w:rPr>
      </w:pPr>
      <w:r>
        <w:rPr>
          <w:rStyle w:val="25"/>
          <w:rFonts w:hint="eastAsia" w:ascii="仿宋" w:hAnsi="仿宋" w:eastAsia="仿宋" w:cs="仿宋"/>
          <w:sz w:val="32"/>
          <w:szCs w:val="32"/>
        </w:rPr>
        <w:t>教育硕士研究生培养工作初步形成了研究生院、教育学部、培养学院三级管理体系。为做好评估工作，根据《国务院学位委员会 教育部关于开展2020-2025年学位授权点周期性合格评估工作的通知》（学位〔2020〕26号）、江西省学位办及学校相关文件精神，结合学位点工作实际，制定了2020-2025年教育硕士专业学位授权点周期性合格评估工作方案，并按照方案扎实推进自我评估工作。</w:t>
      </w:r>
    </w:p>
    <w:p>
      <w:pPr>
        <w:spacing w:line="580" w:lineRule="exact"/>
        <w:ind w:firstLine="643" w:firstLineChars="200"/>
        <w:rPr>
          <w:rStyle w:val="25"/>
          <w:rFonts w:hint="eastAsia" w:ascii="仿宋" w:hAnsi="仿宋" w:eastAsia="仿宋" w:cs="仿宋"/>
          <w:b/>
          <w:sz w:val="32"/>
          <w:szCs w:val="32"/>
        </w:rPr>
      </w:pPr>
      <w:r>
        <w:rPr>
          <w:rStyle w:val="25"/>
          <w:rFonts w:hint="eastAsia" w:ascii="仿宋" w:hAnsi="仿宋" w:eastAsia="仿宋" w:cs="仿宋"/>
          <w:b/>
          <w:sz w:val="32"/>
          <w:szCs w:val="32"/>
        </w:rPr>
        <w:t>（二）学位论文抽检情况</w:t>
      </w:r>
    </w:p>
    <w:p>
      <w:pPr>
        <w:pStyle w:val="10"/>
        <w:widowControl/>
        <w:spacing w:beforeAutospacing="0" w:afterAutospacing="0" w:line="580" w:lineRule="exact"/>
        <w:ind w:firstLine="555"/>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本学科2023年度学校组织的研究生学位论文盲审未发现“存在问题学位论文”。</w:t>
      </w:r>
    </w:p>
    <w:p>
      <w:pPr>
        <w:spacing w:line="580" w:lineRule="exact"/>
        <w:ind w:firstLine="643" w:firstLineChars="200"/>
        <w:rPr>
          <w:rStyle w:val="25"/>
          <w:rFonts w:hint="eastAsia" w:ascii="仿宋" w:hAnsi="仿宋" w:eastAsia="仿宋" w:cs="仿宋"/>
          <w:b/>
          <w:sz w:val="32"/>
          <w:szCs w:val="32"/>
        </w:rPr>
      </w:pPr>
      <w:r>
        <w:rPr>
          <w:rStyle w:val="25"/>
          <w:rFonts w:hint="eastAsia" w:ascii="仿宋" w:hAnsi="仿宋" w:eastAsia="仿宋" w:cs="仿宋"/>
          <w:b/>
          <w:sz w:val="32"/>
          <w:szCs w:val="32"/>
        </w:rPr>
        <w:t>（三）存在问题</w:t>
      </w:r>
    </w:p>
    <w:p>
      <w:pPr>
        <w:spacing w:line="580" w:lineRule="exact"/>
        <w:ind w:firstLine="640" w:firstLineChars="200"/>
        <w:rPr>
          <w:rStyle w:val="25"/>
          <w:rFonts w:hint="eastAsia" w:ascii="仿宋" w:hAnsi="仿宋" w:eastAsia="仿宋" w:cs="仿宋"/>
          <w:sz w:val="32"/>
          <w:szCs w:val="32"/>
        </w:rPr>
      </w:pPr>
      <w:r>
        <w:rPr>
          <w:rStyle w:val="25"/>
          <w:rFonts w:hint="eastAsia" w:ascii="仿宋" w:hAnsi="仿宋" w:eastAsia="仿宋" w:cs="仿宋"/>
          <w:sz w:val="32"/>
          <w:szCs w:val="32"/>
        </w:rPr>
        <w:t>1.教育硕士培养单位统筹管理尚需加强。为对学校教育资源要素进行整合，充分发挥教育资源优势，学校于2019年12月成立了教育学部，负责教育学学科研究生招生、培养、管理工作，统筹课程与教学论研究生招生、管理及人才培养方案制订等工作，课程与教学论研究生培养由相关学院组织实施。由此，教育硕士研究生培养工作初步形成了研究生院、教育学部、培养学院三级管理体系。然而，在运行过程中，三级体系之间的职责分工不太清晰，没有形成运行顺畅的管理体制机制，缺乏对学生培养各个要素和环节的有效监管。</w:t>
      </w:r>
    </w:p>
    <w:p>
      <w:pPr>
        <w:spacing w:line="580" w:lineRule="exact"/>
        <w:ind w:firstLine="640" w:firstLineChars="200"/>
        <w:rPr>
          <w:rStyle w:val="25"/>
          <w:rFonts w:hint="eastAsia" w:ascii="仿宋" w:hAnsi="仿宋" w:eastAsia="仿宋" w:cs="仿宋"/>
          <w:sz w:val="32"/>
          <w:szCs w:val="32"/>
        </w:rPr>
      </w:pPr>
      <w:r>
        <w:rPr>
          <w:rStyle w:val="25"/>
          <w:rFonts w:hint="eastAsia" w:ascii="仿宋" w:hAnsi="仿宋" w:eastAsia="仿宋" w:cs="仿宋"/>
          <w:sz w:val="32"/>
          <w:szCs w:val="32"/>
        </w:rPr>
        <w:t>2.导师队伍建设尚需强化。当前，学校各教育硕士培养单位基本建立了一支符合硕士研究生培养的教师队伍。从我校的校内导师看，他们普遍具有较强的理论功底和科研能力，但大部分缺乏实践一线教师的职业能力和实际工作经验；校外导师方面，由于单位属性的问题，难以对他们进行合理的评价，相关管理制度与规定在具体化、清晰化和可行化方面还不够，缺乏科学合理的聘任考核机制，校外导师职责不够清晰，指导欠佳，难以充分发挥校外教学资源，调动校外导师的工作积极性，发挥其所具有的丰富经验和专业能力以及在实践环节指导的优势；最后，校内校外“双导师”共同指导学习和研究的合作交流机制需要进一步强化。</w:t>
      </w:r>
    </w:p>
    <w:p>
      <w:pPr>
        <w:spacing w:line="580" w:lineRule="exact"/>
        <w:ind w:firstLine="640" w:firstLineChars="200"/>
        <w:rPr>
          <w:rStyle w:val="25"/>
          <w:rFonts w:hint="eastAsia" w:ascii="仿宋" w:hAnsi="仿宋" w:eastAsia="仿宋" w:cs="仿宋"/>
          <w:sz w:val="32"/>
          <w:szCs w:val="32"/>
        </w:rPr>
      </w:pPr>
      <w:r>
        <w:rPr>
          <w:rStyle w:val="25"/>
          <w:rFonts w:hint="eastAsia" w:ascii="仿宋" w:hAnsi="仿宋" w:eastAsia="仿宋" w:cs="仿宋"/>
          <w:sz w:val="32"/>
          <w:szCs w:val="32"/>
        </w:rPr>
        <w:t>3.培养单位对教育硕士培养相关文件精神没有吃透，导致对教育硕士培养规定和要求不尽相同，例如实践教学方面整体上对实践教学的具体要求表述较为概括，仅说明了实践教学学时、实践教学学分和实践教学具体时间，对实践教学内容、具体形式、考核方式等还存在表述不清晰的现象；此外，还表现为部分教师在操作过程中沿用学术型的培养目标、教学方式、教学内容，直接表现为对学生毕业论文研究对象、研究内容等把握不准，毕业论文存在超出“中等职业学校”范围、越边界、跨类型，以及研究问题存在“虚”“大”“空”等问题。</w:t>
      </w:r>
    </w:p>
    <w:p>
      <w:pPr>
        <w:spacing w:line="580" w:lineRule="exact"/>
        <w:ind w:firstLine="643" w:firstLineChars="200"/>
        <w:rPr>
          <w:rStyle w:val="25"/>
          <w:rFonts w:hint="eastAsia" w:ascii="黑体" w:hAnsi="黑体" w:eastAsia="黑体" w:cs="黑体"/>
          <w:b/>
          <w:sz w:val="32"/>
          <w:szCs w:val="32"/>
        </w:rPr>
      </w:pPr>
      <w:r>
        <w:rPr>
          <w:rStyle w:val="25"/>
          <w:rFonts w:hint="eastAsia" w:ascii="黑体" w:hAnsi="黑体" w:eastAsia="黑体" w:cs="黑体"/>
          <w:b/>
          <w:sz w:val="32"/>
          <w:szCs w:val="32"/>
        </w:rPr>
        <w:t>六、改进措施</w:t>
      </w:r>
    </w:p>
    <w:p>
      <w:pPr>
        <w:spacing w:line="580" w:lineRule="exact"/>
        <w:ind w:firstLine="640" w:firstLineChars="200"/>
        <w:rPr>
          <w:rStyle w:val="25"/>
          <w:rFonts w:hint="eastAsia" w:ascii="仿宋" w:hAnsi="仿宋" w:eastAsia="仿宋" w:cs="仿宋"/>
          <w:sz w:val="32"/>
          <w:szCs w:val="32"/>
        </w:rPr>
      </w:pPr>
      <w:r>
        <w:rPr>
          <w:rStyle w:val="25"/>
          <w:rFonts w:hint="eastAsia" w:ascii="仿宋" w:hAnsi="仿宋" w:eastAsia="仿宋" w:cs="仿宋"/>
          <w:sz w:val="32"/>
          <w:szCs w:val="32"/>
        </w:rPr>
        <w:t>1.加强对教育硕士相关文件精神的学习。组织学校教育硕士培养单位集中学习教育硕士培养相关文件、政策，充分认识教育硕士的实践性、职业性，全面深入理解实践教学的重要地位，从自身客观问题出发，重新认识教育硕士的培养目标、办学理念，树立培养应用型人才培养观念。在认真解读国家相关文件基础上，修订人才培养方案，充分发挥培养方案在研究生培养方面的引导性作用。</w:t>
      </w:r>
    </w:p>
    <w:p>
      <w:pPr>
        <w:pStyle w:val="6"/>
        <w:spacing w:after="0" w:line="580" w:lineRule="exact"/>
        <w:ind w:firstLine="640" w:firstLineChars="200"/>
        <w:rPr>
          <w:rStyle w:val="25"/>
          <w:rFonts w:hint="eastAsia" w:ascii="仿宋" w:hAnsi="仿宋" w:eastAsia="仿宋" w:cs="仿宋"/>
          <w:sz w:val="32"/>
          <w:szCs w:val="32"/>
        </w:rPr>
      </w:pPr>
      <w:r>
        <w:rPr>
          <w:rStyle w:val="25"/>
          <w:rFonts w:hint="eastAsia" w:ascii="仿宋" w:hAnsi="仿宋" w:eastAsia="仿宋" w:cs="仿宋"/>
          <w:sz w:val="32"/>
          <w:szCs w:val="32"/>
        </w:rPr>
        <w:t>2.进一步理顺实践教学管理体制。首先，明确研究生院、教育学部、培养学院三级在教育硕士培养中的工作职责，形成运行顺畅的工作机制。其次，加强统筹规划，根据专业建设和人才培养需要，统筹推进教育硕士研究生培养改革与创新，提高人才培养的规范性与有效性，科学性与先进性。最后，实现动态管理，全过程管理，加强过程监控。</w:t>
      </w:r>
    </w:p>
    <w:p>
      <w:pPr>
        <w:pStyle w:val="6"/>
        <w:spacing w:after="0" w:line="580" w:lineRule="exact"/>
        <w:ind w:firstLine="640" w:firstLineChars="200"/>
        <w:rPr>
          <w:rStyle w:val="25"/>
          <w:rFonts w:hint="eastAsia" w:ascii="仿宋" w:hAnsi="仿宋" w:eastAsia="仿宋" w:cs="仿宋"/>
          <w:sz w:val="32"/>
          <w:szCs w:val="32"/>
        </w:rPr>
      </w:pPr>
      <w:r>
        <w:rPr>
          <w:rStyle w:val="25"/>
          <w:rFonts w:hint="eastAsia" w:ascii="仿宋" w:hAnsi="仿宋" w:eastAsia="仿宋" w:cs="仿宋"/>
          <w:sz w:val="32"/>
          <w:szCs w:val="32"/>
        </w:rPr>
        <w:t>3.制订科学、可行的教育硕士导师规划，合理加强“双导师”队伍建设。根据学科发展的需要，制订科学、可行的教育硕士导师发展规划，合理建设教育硕士学科带头人+教授+讲师导师梯队，不断调整和优化梯队结构；充分利用实践基地的人员优势，建设一支相对稳定的校外实习教师指导队伍，从企事业单位聘请一批有经验的管理者、领导者、业务骨干和精英担任指导老师；另一方面加大校内导师培训力度，聘请本学科领域内具有较厚的理论基础和丰富的实践经验的专家作为指导教师；最后，完善校内外导师管理制度建设，包括职责要求、履职情况、指导效果、奖惩措施等。</w:t>
      </w:r>
    </w:p>
    <w:p>
      <w:pPr>
        <w:pStyle w:val="6"/>
        <w:spacing w:after="0" w:line="580" w:lineRule="exact"/>
        <w:rPr>
          <w:rStyle w:val="25"/>
          <w:rFonts w:hint="eastAsia" w:ascii="仿宋" w:hAnsi="仿宋" w:eastAsia="仿宋" w:cs="仿宋"/>
          <w:sz w:val="32"/>
          <w:szCs w:val="32"/>
        </w:rPr>
      </w:pPr>
    </w:p>
    <w:p>
      <w:pPr>
        <w:spacing w:line="580" w:lineRule="exact"/>
        <w:rPr>
          <w:rStyle w:val="25"/>
          <w:rFonts w:hint="eastAsia" w:ascii="仿宋" w:hAnsi="仿宋" w:eastAsia="仿宋" w:cs="仿宋"/>
          <w:sz w:val="32"/>
          <w:szCs w:val="32"/>
        </w:rPr>
      </w:pPr>
    </w:p>
    <w:p>
      <w:pPr>
        <w:pStyle w:val="2"/>
        <w:spacing w:line="580" w:lineRule="exact"/>
        <w:ind w:firstLine="600"/>
        <w:rPr>
          <w:rStyle w:val="25"/>
          <w:rFonts w:hint="eastAsia" w:ascii="仿宋" w:hAnsi="仿宋" w:eastAsia="仿宋" w:cs="仿宋"/>
          <w:color w:val="auto"/>
          <w:sz w:val="32"/>
          <w:szCs w:val="32"/>
        </w:rPr>
      </w:pPr>
    </w:p>
    <w:p>
      <w:pPr>
        <w:spacing w:after="156" w:afterLines="50" w:line="580" w:lineRule="exact"/>
        <w:rPr>
          <w:rStyle w:val="25"/>
          <w:rFonts w:hint="eastAsia" w:ascii="仿宋" w:hAnsi="仿宋" w:eastAsia="仿宋" w:cs="仿宋"/>
          <w:sz w:val="32"/>
          <w:szCs w:val="32"/>
        </w:rPr>
      </w:pPr>
    </w:p>
    <w:sectPr>
      <w:footerReference r:id="rId9"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00"/>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仿宋_GB2312"/>
    <w:panose1 w:val="02010601030101010101"/>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textAlignment w:val="baseline"/>
      <w:rPr>
        <w:rStyle w:val="25"/>
        <w:rFonts w:ascii="Times New Roman" w:hAnsi="Times New Roman" w:eastAsia="宋体"/>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idowControl/>
      <w:jc w:val="center"/>
      <w:textAlignment w:val="baseline"/>
      <w:rPr>
        <w:rStyle w:val="25"/>
        <w:rFonts w:ascii="Times New Roman" w:hAnsi="Times New Roman" w:eastAsia="宋体"/>
        <w:sz w:val="28"/>
        <w:szCs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pPr>
                            <w:pStyle w:val="8"/>
                            <w:rPr>
                              <w:rFonts w:eastAsia="宋体"/>
                            </w:rPr>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vbGRr0QAAAAIBAAAPAAAAAAAAAAEAIAAAACIAAABkcnMvZG93bnJldi54bWxQSwECFAAUAAAA&#10;CACHTuJAqTjCKC4CAABUBAAADgAAAAAAAAABACAAAAAgAQAAZHJzL2Uyb0RvYy54bWxQSwUGAAAA&#10;AAYABgBZAQAAwAUAAAAA&#10;">
              <v:fill on="f" focussize="0,0"/>
              <v:stroke on="f" weight="0.5pt"/>
              <v:imagedata o:title=""/>
              <o:lock v:ext="edit" aspectratio="f"/>
              <v:textbox inset="0mm,0mm,0mm,0mm" style="mso-fit-shape-to-text:t;">
                <w:txbxContent>
                  <w:p>
                    <w:pPr>
                      <w:pStyle w:val="8"/>
                      <w:rPr>
                        <w:rFonts w:eastAsia="宋体"/>
                      </w:rPr>
                    </w:pPr>
                    <w:r>
                      <w:fldChar w:fldCharType="begin"/>
                    </w:r>
                    <w:r>
                      <w:instrText xml:space="preserve"> PAGE  \* MERGEFORMAT </w:instrText>
                    </w:r>
                    <w:r>
                      <w:fldChar w:fldCharType="separate"/>
                    </w:r>
                    <w:r>
                      <w:t>15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830679"/>
    <w:multiLevelType w:val="singleLevel"/>
    <w:tmpl w:val="3C83067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VmZGE4Y2VlOWJiMmNlZTBlMzc0NWQ5NjdkNjY0MTkifQ=="/>
  </w:docVars>
  <w:rsids>
    <w:rsidRoot w:val="00D94DEB"/>
    <w:rsid w:val="000028A1"/>
    <w:rsid w:val="0000504C"/>
    <w:rsid w:val="000145B4"/>
    <w:rsid w:val="00045F43"/>
    <w:rsid w:val="00072396"/>
    <w:rsid w:val="00082791"/>
    <w:rsid w:val="0012158C"/>
    <w:rsid w:val="0013185C"/>
    <w:rsid w:val="00166D03"/>
    <w:rsid w:val="001D0C24"/>
    <w:rsid w:val="001E281B"/>
    <w:rsid w:val="0020560D"/>
    <w:rsid w:val="00223D52"/>
    <w:rsid w:val="002A2A8F"/>
    <w:rsid w:val="002B14F7"/>
    <w:rsid w:val="002B6923"/>
    <w:rsid w:val="002E08A1"/>
    <w:rsid w:val="002E2E3D"/>
    <w:rsid w:val="00350B83"/>
    <w:rsid w:val="00374277"/>
    <w:rsid w:val="003B7289"/>
    <w:rsid w:val="00451F04"/>
    <w:rsid w:val="004942DC"/>
    <w:rsid w:val="00497967"/>
    <w:rsid w:val="00507A79"/>
    <w:rsid w:val="005166EE"/>
    <w:rsid w:val="005250B5"/>
    <w:rsid w:val="0058374B"/>
    <w:rsid w:val="006073EB"/>
    <w:rsid w:val="00615817"/>
    <w:rsid w:val="00621274"/>
    <w:rsid w:val="006249D8"/>
    <w:rsid w:val="00643A29"/>
    <w:rsid w:val="0066722B"/>
    <w:rsid w:val="006D2E36"/>
    <w:rsid w:val="00702CF9"/>
    <w:rsid w:val="00745247"/>
    <w:rsid w:val="007702AF"/>
    <w:rsid w:val="007852C0"/>
    <w:rsid w:val="00860848"/>
    <w:rsid w:val="008A0D43"/>
    <w:rsid w:val="008D2C63"/>
    <w:rsid w:val="008F6294"/>
    <w:rsid w:val="00933F0C"/>
    <w:rsid w:val="00935FC3"/>
    <w:rsid w:val="009741CA"/>
    <w:rsid w:val="009D78FD"/>
    <w:rsid w:val="009F504F"/>
    <w:rsid w:val="00A056B2"/>
    <w:rsid w:val="00A349CF"/>
    <w:rsid w:val="00A54693"/>
    <w:rsid w:val="00A6475E"/>
    <w:rsid w:val="00A85170"/>
    <w:rsid w:val="00AB07D2"/>
    <w:rsid w:val="00AC4833"/>
    <w:rsid w:val="00AF4C8C"/>
    <w:rsid w:val="00B736BA"/>
    <w:rsid w:val="00BD577F"/>
    <w:rsid w:val="00BD656E"/>
    <w:rsid w:val="00BE0B55"/>
    <w:rsid w:val="00BF100F"/>
    <w:rsid w:val="00C824E1"/>
    <w:rsid w:val="00CA6AB1"/>
    <w:rsid w:val="00D04E61"/>
    <w:rsid w:val="00D05430"/>
    <w:rsid w:val="00D153EE"/>
    <w:rsid w:val="00D22959"/>
    <w:rsid w:val="00D26B45"/>
    <w:rsid w:val="00D4605D"/>
    <w:rsid w:val="00D55311"/>
    <w:rsid w:val="00D94DEB"/>
    <w:rsid w:val="00DA77BC"/>
    <w:rsid w:val="00E003A7"/>
    <w:rsid w:val="00E43777"/>
    <w:rsid w:val="00E53D40"/>
    <w:rsid w:val="00E84FDC"/>
    <w:rsid w:val="00EB1974"/>
    <w:rsid w:val="00EC37F6"/>
    <w:rsid w:val="00EE1400"/>
    <w:rsid w:val="00EE383F"/>
    <w:rsid w:val="00EF1BE0"/>
    <w:rsid w:val="00EF5C21"/>
    <w:rsid w:val="00F327A7"/>
    <w:rsid w:val="00F4009F"/>
    <w:rsid w:val="00F605EB"/>
    <w:rsid w:val="00F6129F"/>
    <w:rsid w:val="00F6588A"/>
    <w:rsid w:val="00FA076B"/>
    <w:rsid w:val="00FB53DE"/>
    <w:rsid w:val="00FC335F"/>
    <w:rsid w:val="00FE6B78"/>
    <w:rsid w:val="00FF57C5"/>
    <w:rsid w:val="04AD3DAA"/>
    <w:rsid w:val="05235D34"/>
    <w:rsid w:val="06A20A39"/>
    <w:rsid w:val="07994D2B"/>
    <w:rsid w:val="087E6D4B"/>
    <w:rsid w:val="08D12F00"/>
    <w:rsid w:val="0A7809B7"/>
    <w:rsid w:val="0B3049D6"/>
    <w:rsid w:val="0B692FE1"/>
    <w:rsid w:val="0C480258"/>
    <w:rsid w:val="0CD00F0A"/>
    <w:rsid w:val="0CE2480D"/>
    <w:rsid w:val="0EBD0E70"/>
    <w:rsid w:val="0F712BB6"/>
    <w:rsid w:val="102354BF"/>
    <w:rsid w:val="10C34956"/>
    <w:rsid w:val="116E48C1"/>
    <w:rsid w:val="121A010C"/>
    <w:rsid w:val="12504600"/>
    <w:rsid w:val="13A26AA4"/>
    <w:rsid w:val="145C30F7"/>
    <w:rsid w:val="14EE629B"/>
    <w:rsid w:val="153100E0"/>
    <w:rsid w:val="16F83C72"/>
    <w:rsid w:val="1B3A201B"/>
    <w:rsid w:val="1C420E24"/>
    <w:rsid w:val="1CC25C22"/>
    <w:rsid w:val="1E501745"/>
    <w:rsid w:val="204737CE"/>
    <w:rsid w:val="2157330E"/>
    <w:rsid w:val="21BE0F4D"/>
    <w:rsid w:val="21F4496F"/>
    <w:rsid w:val="25CB1E8B"/>
    <w:rsid w:val="261F3F85"/>
    <w:rsid w:val="27A929FE"/>
    <w:rsid w:val="28C80903"/>
    <w:rsid w:val="2C21126A"/>
    <w:rsid w:val="2C752F1C"/>
    <w:rsid w:val="2D811081"/>
    <w:rsid w:val="2FF26266"/>
    <w:rsid w:val="32BF1A6B"/>
    <w:rsid w:val="33D83D93"/>
    <w:rsid w:val="34684D49"/>
    <w:rsid w:val="38147E3B"/>
    <w:rsid w:val="389D0C80"/>
    <w:rsid w:val="3B1F2605"/>
    <w:rsid w:val="3B23389D"/>
    <w:rsid w:val="3B857ED9"/>
    <w:rsid w:val="3B9B0C14"/>
    <w:rsid w:val="3D9B21BA"/>
    <w:rsid w:val="3EE83FF7"/>
    <w:rsid w:val="3F40671A"/>
    <w:rsid w:val="3FEE08F8"/>
    <w:rsid w:val="435F543E"/>
    <w:rsid w:val="43673D14"/>
    <w:rsid w:val="43E04937"/>
    <w:rsid w:val="44173ECB"/>
    <w:rsid w:val="44421984"/>
    <w:rsid w:val="44A44BC4"/>
    <w:rsid w:val="44AD2E0D"/>
    <w:rsid w:val="454B2248"/>
    <w:rsid w:val="46C035F8"/>
    <w:rsid w:val="48BB76E5"/>
    <w:rsid w:val="492D05E3"/>
    <w:rsid w:val="4B2C3144"/>
    <w:rsid w:val="4D7D7DB9"/>
    <w:rsid w:val="5045485C"/>
    <w:rsid w:val="51BE544C"/>
    <w:rsid w:val="526E1E56"/>
    <w:rsid w:val="5338480E"/>
    <w:rsid w:val="562166FF"/>
    <w:rsid w:val="56E90240"/>
    <w:rsid w:val="57A23368"/>
    <w:rsid w:val="57EF7F46"/>
    <w:rsid w:val="58815E06"/>
    <w:rsid w:val="5CA760BE"/>
    <w:rsid w:val="5EC47139"/>
    <w:rsid w:val="5F8314CF"/>
    <w:rsid w:val="659F2553"/>
    <w:rsid w:val="663A3EE7"/>
    <w:rsid w:val="66EF4E57"/>
    <w:rsid w:val="66FB71D3"/>
    <w:rsid w:val="67A4342A"/>
    <w:rsid w:val="69F12B0F"/>
    <w:rsid w:val="6A215794"/>
    <w:rsid w:val="6A6652AB"/>
    <w:rsid w:val="6AAB5A90"/>
    <w:rsid w:val="6C160F2C"/>
    <w:rsid w:val="6D485437"/>
    <w:rsid w:val="6D5A1E87"/>
    <w:rsid w:val="6E5B49FB"/>
    <w:rsid w:val="6E995A95"/>
    <w:rsid w:val="70BC5C25"/>
    <w:rsid w:val="7229607F"/>
    <w:rsid w:val="73A82490"/>
    <w:rsid w:val="73D25D6E"/>
    <w:rsid w:val="740B40E6"/>
    <w:rsid w:val="75187F78"/>
    <w:rsid w:val="752E2E69"/>
    <w:rsid w:val="75322783"/>
    <w:rsid w:val="754E378A"/>
    <w:rsid w:val="75D7090C"/>
    <w:rsid w:val="77260526"/>
    <w:rsid w:val="77B72634"/>
    <w:rsid w:val="77F40DE4"/>
    <w:rsid w:val="780305DD"/>
    <w:rsid w:val="78462278"/>
    <w:rsid w:val="79EA1A55"/>
    <w:rsid w:val="7A9C2623"/>
    <w:rsid w:val="7AF721A5"/>
    <w:rsid w:val="7BBC67DB"/>
    <w:rsid w:val="7BE67FFA"/>
    <w:rsid w:val="7D2012E9"/>
    <w:rsid w:val="7DD37E5E"/>
    <w:rsid w:val="7DEF6BC8"/>
    <w:rsid w:val="7E637C8C"/>
    <w:rsid w:val="7FB31700"/>
    <w:rsid w:val="7FD03A1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简体" w:cs="Times New Roman"/>
      <w:kern w:val="2"/>
      <w:sz w:val="32"/>
      <w:szCs w:val="24"/>
      <w:lang w:val="en-US" w:eastAsia="zh-CN" w:bidi="ar-SA"/>
    </w:rPr>
  </w:style>
  <w:style w:type="paragraph" w:styleId="3">
    <w:name w:val="heading 1"/>
    <w:basedOn w:val="1"/>
    <w:next w:val="1"/>
    <w:link w:val="19"/>
    <w:autoRedefine/>
    <w:qFormat/>
    <w:uiPriority w:val="99"/>
    <w:pPr>
      <w:spacing w:beforeAutospacing="1" w:afterAutospacing="1"/>
      <w:jc w:val="left"/>
      <w:outlineLvl w:val="0"/>
    </w:pPr>
    <w:rPr>
      <w:rFonts w:ascii="宋体" w:hAnsi="宋体" w:eastAsia="宋体"/>
      <w:b/>
      <w:kern w:val="44"/>
      <w:sz w:val="48"/>
      <w:szCs w:val="48"/>
    </w:rPr>
  </w:style>
  <w:style w:type="paragraph" w:styleId="2">
    <w:name w:val="heading 3"/>
    <w:basedOn w:val="1"/>
    <w:next w:val="1"/>
    <w:link w:val="20"/>
    <w:autoRedefine/>
    <w:qFormat/>
    <w:uiPriority w:val="99"/>
    <w:pPr>
      <w:spacing w:line="600" w:lineRule="exact"/>
      <w:ind w:firstLine="640" w:firstLineChars="200"/>
      <w:outlineLvl w:val="2"/>
    </w:pPr>
    <w:rPr>
      <w:rFonts w:ascii="黑体" w:hAnsi="黑体" w:eastAsia="黑体"/>
      <w:color w:val="000000"/>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caption"/>
    <w:basedOn w:val="1"/>
    <w:next w:val="1"/>
    <w:autoRedefine/>
    <w:qFormat/>
    <w:uiPriority w:val="99"/>
    <w:rPr>
      <w:sz w:val="20"/>
      <w:szCs w:val="20"/>
    </w:rPr>
  </w:style>
  <w:style w:type="paragraph" w:styleId="5">
    <w:name w:val="annotation text"/>
    <w:basedOn w:val="1"/>
    <w:autoRedefine/>
    <w:semiHidden/>
    <w:unhideWhenUsed/>
    <w:qFormat/>
    <w:uiPriority w:val="99"/>
    <w:pPr>
      <w:jc w:val="left"/>
    </w:pPr>
  </w:style>
  <w:style w:type="paragraph" w:styleId="6">
    <w:name w:val="Body Text"/>
    <w:basedOn w:val="1"/>
    <w:link w:val="29"/>
    <w:autoRedefine/>
    <w:unhideWhenUsed/>
    <w:qFormat/>
    <w:uiPriority w:val="99"/>
    <w:pPr>
      <w:adjustRightInd w:val="0"/>
      <w:snapToGrid w:val="0"/>
      <w:spacing w:after="200" w:line="259" w:lineRule="auto"/>
    </w:pPr>
    <w:rPr>
      <w:rFonts w:ascii="Tahoma" w:hAnsi="Tahoma" w:eastAsia="仿宋_GB2312"/>
      <w:szCs w:val="22"/>
    </w:rPr>
  </w:style>
  <w:style w:type="paragraph" w:styleId="7">
    <w:name w:val="Balloon Text"/>
    <w:basedOn w:val="1"/>
    <w:link w:val="27"/>
    <w:autoRedefine/>
    <w:semiHidden/>
    <w:unhideWhenUsed/>
    <w:qFormat/>
    <w:uiPriority w:val="99"/>
    <w:rPr>
      <w:sz w:val="18"/>
      <w:szCs w:val="18"/>
    </w:rPr>
  </w:style>
  <w:style w:type="paragraph" w:styleId="8">
    <w:name w:val="footer"/>
    <w:basedOn w:val="1"/>
    <w:link w:val="21"/>
    <w:autoRedefine/>
    <w:qFormat/>
    <w:uiPriority w:val="99"/>
    <w:pPr>
      <w:tabs>
        <w:tab w:val="center" w:pos="4153"/>
        <w:tab w:val="right" w:pos="8306"/>
      </w:tabs>
      <w:snapToGrid w:val="0"/>
      <w:jc w:val="left"/>
    </w:pPr>
    <w:rPr>
      <w:sz w:val="18"/>
      <w:szCs w:val="18"/>
    </w:rPr>
  </w:style>
  <w:style w:type="paragraph" w:styleId="9">
    <w:name w:val="header"/>
    <w:basedOn w:val="1"/>
    <w:link w:val="22"/>
    <w:autoRedefine/>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99"/>
    <w:pPr>
      <w:spacing w:beforeAutospacing="1" w:afterAutospacing="1"/>
      <w:jc w:val="left"/>
    </w:pPr>
    <w:rPr>
      <w:kern w:val="0"/>
      <w:sz w:val="24"/>
    </w:rPr>
  </w:style>
  <w:style w:type="table" w:styleId="12">
    <w:name w:val="Table Grid"/>
    <w:basedOn w:val="11"/>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0"/>
    <w:rPr>
      <w:rFonts w:cs="Times New Roman"/>
      <w:b/>
    </w:rPr>
  </w:style>
  <w:style w:type="character" w:styleId="15">
    <w:name w:val="page number"/>
    <w:basedOn w:val="13"/>
    <w:autoRedefine/>
    <w:qFormat/>
    <w:uiPriority w:val="99"/>
    <w:rPr>
      <w:rFonts w:cs="Times New Roman"/>
    </w:rPr>
  </w:style>
  <w:style w:type="character" w:styleId="16">
    <w:name w:val="FollowedHyperlink"/>
    <w:basedOn w:val="13"/>
    <w:autoRedefine/>
    <w:qFormat/>
    <w:uiPriority w:val="99"/>
    <w:rPr>
      <w:rFonts w:cs="Times New Roman"/>
      <w:color w:val="800080"/>
      <w:u w:val="none"/>
    </w:rPr>
  </w:style>
  <w:style w:type="character" w:styleId="17">
    <w:name w:val="Hyperlink"/>
    <w:basedOn w:val="13"/>
    <w:autoRedefine/>
    <w:qFormat/>
    <w:uiPriority w:val="99"/>
    <w:rPr>
      <w:rFonts w:cs="Times New Roman"/>
      <w:color w:val="0000FF"/>
      <w:u w:val="none"/>
    </w:rPr>
  </w:style>
  <w:style w:type="character" w:styleId="18">
    <w:name w:val="annotation reference"/>
    <w:basedOn w:val="13"/>
    <w:autoRedefine/>
    <w:semiHidden/>
    <w:unhideWhenUsed/>
    <w:qFormat/>
    <w:uiPriority w:val="99"/>
    <w:rPr>
      <w:sz w:val="21"/>
      <w:szCs w:val="21"/>
    </w:rPr>
  </w:style>
  <w:style w:type="character" w:customStyle="1" w:styleId="19">
    <w:name w:val="标题 1 字符"/>
    <w:basedOn w:val="13"/>
    <w:link w:val="3"/>
    <w:autoRedefine/>
    <w:qFormat/>
    <w:locked/>
    <w:uiPriority w:val="99"/>
    <w:rPr>
      <w:rFonts w:ascii="Calibri" w:hAnsi="Calibri" w:eastAsia="方正仿宋简体" w:cs="Times New Roman"/>
      <w:b/>
      <w:bCs/>
      <w:kern w:val="44"/>
      <w:sz w:val="44"/>
      <w:szCs w:val="44"/>
    </w:rPr>
  </w:style>
  <w:style w:type="character" w:customStyle="1" w:styleId="20">
    <w:name w:val="标题 3 字符"/>
    <w:basedOn w:val="13"/>
    <w:link w:val="2"/>
    <w:autoRedefine/>
    <w:semiHidden/>
    <w:qFormat/>
    <w:locked/>
    <w:uiPriority w:val="99"/>
    <w:rPr>
      <w:rFonts w:ascii="Calibri" w:hAnsi="Calibri" w:eastAsia="方正仿宋简体" w:cs="Times New Roman"/>
      <w:b/>
      <w:bCs/>
      <w:sz w:val="32"/>
      <w:szCs w:val="32"/>
    </w:rPr>
  </w:style>
  <w:style w:type="character" w:customStyle="1" w:styleId="21">
    <w:name w:val="页脚 字符"/>
    <w:basedOn w:val="13"/>
    <w:link w:val="8"/>
    <w:autoRedefine/>
    <w:semiHidden/>
    <w:qFormat/>
    <w:locked/>
    <w:uiPriority w:val="99"/>
    <w:rPr>
      <w:rFonts w:ascii="Calibri" w:hAnsi="Calibri" w:eastAsia="方正仿宋简体" w:cs="Times New Roman"/>
      <w:sz w:val="18"/>
      <w:szCs w:val="18"/>
    </w:rPr>
  </w:style>
  <w:style w:type="character" w:customStyle="1" w:styleId="22">
    <w:name w:val="页眉 字符"/>
    <w:basedOn w:val="13"/>
    <w:link w:val="9"/>
    <w:autoRedefine/>
    <w:semiHidden/>
    <w:qFormat/>
    <w:locked/>
    <w:uiPriority w:val="99"/>
    <w:rPr>
      <w:rFonts w:ascii="Calibri" w:hAnsi="Calibri" w:eastAsia="方正仿宋简体" w:cs="Times New Roman"/>
      <w:sz w:val="18"/>
      <w:szCs w:val="18"/>
    </w:rPr>
  </w:style>
  <w:style w:type="character" w:customStyle="1" w:styleId="23">
    <w:name w:val="hover21"/>
    <w:basedOn w:val="13"/>
    <w:autoRedefine/>
    <w:qFormat/>
    <w:uiPriority w:val="99"/>
    <w:rPr>
      <w:rFonts w:cs="Times New Roman"/>
      <w:color w:val="557EE7"/>
    </w:rPr>
  </w:style>
  <w:style w:type="paragraph" w:customStyle="1" w:styleId="24">
    <w:name w:val="彩色列表 - 强调文字颜色 11"/>
    <w:basedOn w:val="1"/>
    <w:autoRedefine/>
    <w:qFormat/>
    <w:uiPriority w:val="99"/>
    <w:pPr>
      <w:ind w:firstLine="420" w:firstLineChars="200"/>
    </w:pPr>
    <w:rPr>
      <w:rFonts w:ascii="Cambria" w:hAnsi="Cambria"/>
      <w:szCs w:val="22"/>
    </w:rPr>
  </w:style>
  <w:style w:type="character" w:customStyle="1" w:styleId="25">
    <w:name w:val="NormalCharacter"/>
    <w:autoRedefine/>
    <w:semiHidden/>
    <w:qFormat/>
    <w:uiPriority w:val="99"/>
    <w:rPr>
      <w:rFonts w:ascii="Calibri" w:hAnsi="Calibri" w:eastAsia="方正仿宋简体"/>
      <w:kern w:val="2"/>
      <w:sz w:val="24"/>
      <w:lang w:val="en-US" w:eastAsia="zh-CN"/>
    </w:rPr>
  </w:style>
  <w:style w:type="paragraph" w:customStyle="1" w:styleId="26">
    <w:name w:val="Heading3"/>
    <w:basedOn w:val="1"/>
    <w:next w:val="1"/>
    <w:autoRedefine/>
    <w:qFormat/>
    <w:uiPriority w:val="99"/>
    <w:pPr>
      <w:spacing w:line="600" w:lineRule="exact"/>
      <w:ind w:firstLine="640" w:firstLineChars="200"/>
      <w:textAlignment w:val="baseline"/>
    </w:pPr>
    <w:rPr>
      <w:rFonts w:ascii="黑体" w:hAnsi="黑体" w:eastAsia="黑体"/>
      <w:color w:val="000000"/>
      <w:szCs w:val="32"/>
    </w:rPr>
  </w:style>
  <w:style w:type="character" w:customStyle="1" w:styleId="27">
    <w:name w:val="批注框文本 字符"/>
    <w:basedOn w:val="13"/>
    <w:link w:val="7"/>
    <w:autoRedefine/>
    <w:semiHidden/>
    <w:qFormat/>
    <w:uiPriority w:val="99"/>
    <w:rPr>
      <w:rFonts w:ascii="Calibri" w:hAnsi="Calibri" w:eastAsia="方正仿宋简体"/>
      <w:sz w:val="18"/>
      <w:szCs w:val="18"/>
    </w:rPr>
  </w:style>
  <w:style w:type="paragraph" w:customStyle="1" w:styleId="28">
    <w:name w:val="Table Paragraph"/>
    <w:basedOn w:val="1"/>
    <w:autoRedefine/>
    <w:unhideWhenUsed/>
    <w:qFormat/>
    <w:uiPriority w:val="1"/>
    <w:pPr>
      <w:widowControl/>
      <w:jc w:val="left"/>
    </w:pPr>
    <w:rPr>
      <w:rFonts w:hint="eastAsia" w:ascii="宋体" w:hAnsi="宋体" w:eastAsia="宋体" w:cs="宋体"/>
      <w:kern w:val="0"/>
      <w:sz w:val="24"/>
    </w:rPr>
  </w:style>
  <w:style w:type="character" w:customStyle="1" w:styleId="29">
    <w:name w:val="正文文本 字符"/>
    <w:basedOn w:val="13"/>
    <w:link w:val="6"/>
    <w:autoRedefine/>
    <w:qFormat/>
    <w:uiPriority w:val="99"/>
    <w:rPr>
      <w:rFonts w:ascii="Tahoma" w:hAnsi="Tahoma"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14</Pages>
  <Words>7361</Words>
  <Characters>7533</Characters>
  <Lines>62</Lines>
  <Paragraphs>17</Paragraphs>
  <TotalTime>117</TotalTime>
  <ScaleCrop>false</ScaleCrop>
  <LinksUpToDate>false</LinksUpToDate>
  <CharactersWithSpaces>7555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2022-03-25T05:25:00Z</dcterms:created>
  <dc:creator>XWB</dc:creator>
  <cp:lastModifiedBy>WPS_1694344341</cp:lastModifiedBy>
  <cp:lastPrinted>2024-01-29T02:12:00Z</cp:lastPrinted>
  <dcterms:modified xsi:type="dcterms:W3CDTF">2024-03-18T03:35:52Z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9BAB3EDADDC043A08654EA7BCE2390EA</vt:lpwstr>
  </property>
</Properties>
</file>